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DF651" w14:textId="77777777" w:rsidR="00C50037" w:rsidRDefault="00C50037">
      <w:pPr>
        <w:jc w:val="center"/>
        <w:rPr>
          <w:rFonts w:ascii="Arial" w:hAnsi="Arial" w:cs="Arial"/>
          <w:sz w:val="28"/>
          <w:szCs w:val="28"/>
          <w:lang w:val="sk-SK"/>
        </w:rPr>
      </w:pPr>
    </w:p>
    <w:p w14:paraId="15FFC72F" w14:textId="47E10DDD" w:rsidR="000B77F9" w:rsidRPr="00343CB5" w:rsidRDefault="005A2617">
      <w:pPr>
        <w:jc w:val="center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>EURÓPSKY</w:t>
      </w:r>
      <w:r w:rsidR="006D725D">
        <w:rPr>
          <w:rFonts w:ascii="Arial" w:hAnsi="Arial" w:cs="Arial"/>
          <w:sz w:val="28"/>
          <w:szCs w:val="28"/>
          <w:lang w:val="sk-SK"/>
        </w:rPr>
        <w:t xml:space="preserve"> DEŇ </w:t>
      </w:r>
      <w:r>
        <w:rPr>
          <w:rFonts w:ascii="Arial" w:hAnsi="Arial" w:cs="Arial"/>
          <w:sz w:val="28"/>
          <w:szCs w:val="28"/>
          <w:lang w:val="sk-SK"/>
        </w:rPr>
        <w:t>DARCOVSTVA A</w:t>
      </w:r>
      <w:r w:rsidR="009A285C">
        <w:rPr>
          <w:rFonts w:ascii="Arial" w:hAnsi="Arial" w:cs="Arial"/>
          <w:sz w:val="28"/>
          <w:szCs w:val="28"/>
          <w:lang w:val="sk-SK"/>
        </w:rPr>
        <w:t> </w:t>
      </w:r>
      <w:r w:rsidR="006D725D">
        <w:rPr>
          <w:rFonts w:ascii="Arial" w:hAnsi="Arial" w:cs="Arial"/>
          <w:sz w:val="28"/>
          <w:szCs w:val="28"/>
          <w:lang w:val="sk-SK"/>
        </w:rPr>
        <w:t>TRANSPLANTÁCIÍ</w:t>
      </w:r>
      <w:r w:rsidR="009A285C">
        <w:rPr>
          <w:rFonts w:ascii="Arial" w:hAnsi="Arial" w:cs="Arial"/>
          <w:sz w:val="28"/>
          <w:szCs w:val="28"/>
          <w:lang w:val="sk-SK"/>
        </w:rPr>
        <w:t xml:space="preserve"> 2016</w:t>
      </w:r>
    </w:p>
    <w:p w14:paraId="1089050F" w14:textId="77777777" w:rsidR="000B77F9" w:rsidRPr="00343CB5" w:rsidRDefault="000B77F9">
      <w:pPr>
        <w:jc w:val="center"/>
        <w:rPr>
          <w:rFonts w:ascii="Arial" w:hAnsi="Arial" w:cs="Arial"/>
          <w:sz w:val="28"/>
          <w:szCs w:val="28"/>
          <w:lang w:val="sk-SK"/>
        </w:rPr>
      </w:pPr>
      <w:bookmarkStart w:id="0" w:name="_GoBack"/>
      <w:bookmarkEnd w:id="0"/>
    </w:p>
    <w:p w14:paraId="7393BFA7" w14:textId="25641109" w:rsidR="00307E39" w:rsidRDefault="005D5444">
      <w:pPr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POČET PACIENTOV ČAKAJÚCICH NA TRANSPLANTÁCIU KLESOL </w:t>
      </w:r>
      <w:r w:rsidR="002A7C47">
        <w:rPr>
          <w:rFonts w:ascii="Arial" w:hAnsi="Arial" w:cs="Arial"/>
          <w:lang w:val="sk-SK"/>
        </w:rPr>
        <w:t>Z</w:t>
      </w:r>
      <w:r w:rsidR="002A7C47" w:rsidRPr="00AF17EF">
        <w:rPr>
          <w:rFonts w:ascii="Arial" w:hAnsi="Arial" w:cs="Arial"/>
          <w:lang w:val="sk-SK"/>
        </w:rPr>
        <w:t>A</w:t>
      </w:r>
      <w:r w:rsidR="002A7C47" w:rsidRPr="00AF17EF">
        <w:rPr>
          <w:rFonts w:ascii="Arial" w:hAnsi="Arial" w:cs="Arial"/>
          <w:color w:val="FF0000"/>
          <w:lang w:val="sk-SK"/>
        </w:rPr>
        <w:t xml:space="preserve"> </w:t>
      </w:r>
      <w:r w:rsidR="00285C5D">
        <w:rPr>
          <w:rFonts w:ascii="Arial" w:hAnsi="Arial" w:cs="Arial"/>
          <w:lang w:val="sk-SK"/>
        </w:rPr>
        <w:t>OSTATNÉ</w:t>
      </w:r>
      <w:r w:rsidR="002A7C47" w:rsidRPr="00941FE2">
        <w:rPr>
          <w:rFonts w:ascii="Arial" w:hAnsi="Arial" w:cs="Arial"/>
          <w:lang w:val="sk-SK"/>
        </w:rPr>
        <w:t xml:space="preserve"> </w:t>
      </w:r>
      <w:r w:rsidR="002A7C47">
        <w:rPr>
          <w:rFonts w:ascii="Arial" w:hAnsi="Arial" w:cs="Arial"/>
          <w:lang w:val="sk-SK"/>
        </w:rPr>
        <w:t>DVA ROKY O 24 %</w:t>
      </w:r>
    </w:p>
    <w:p w14:paraId="062C5425" w14:textId="77777777" w:rsidR="000B77F9" w:rsidRPr="00343CB5" w:rsidRDefault="000B77F9">
      <w:pPr>
        <w:jc w:val="center"/>
        <w:rPr>
          <w:rFonts w:ascii="Arial Narrow" w:hAnsi="Arial Narrow"/>
          <w:lang w:val="sk-SK"/>
        </w:rPr>
      </w:pPr>
    </w:p>
    <w:p w14:paraId="6DA4C743" w14:textId="7F8608C9" w:rsidR="002166C8" w:rsidRPr="00941FE2" w:rsidRDefault="005D5444" w:rsidP="002166C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 w:rsidRPr="00941FE2">
        <w:rPr>
          <w:rFonts w:ascii="Arial" w:hAnsi="Arial" w:cs="Arial"/>
          <w:b/>
          <w:bCs/>
          <w:sz w:val="20"/>
          <w:szCs w:val="20"/>
          <w:lang w:val="sk-SK"/>
        </w:rPr>
        <w:t>Bratislava, 7</w:t>
      </w:r>
      <w:r w:rsidR="005A2617" w:rsidRPr="00941FE2">
        <w:rPr>
          <w:rFonts w:ascii="Arial" w:hAnsi="Arial" w:cs="Arial"/>
          <w:b/>
          <w:bCs/>
          <w:sz w:val="20"/>
          <w:szCs w:val="20"/>
          <w:lang w:val="sk-SK"/>
        </w:rPr>
        <w:t xml:space="preserve">. </w:t>
      </w:r>
      <w:r w:rsidR="009926C9" w:rsidRPr="00941FE2">
        <w:rPr>
          <w:rFonts w:ascii="Arial" w:hAnsi="Arial" w:cs="Arial"/>
          <w:b/>
          <w:bCs/>
          <w:sz w:val="20"/>
          <w:szCs w:val="20"/>
          <w:lang w:val="sk-SK"/>
        </w:rPr>
        <w:t>o</w:t>
      </w:r>
      <w:r w:rsidR="005A2617" w:rsidRPr="00941FE2">
        <w:rPr>
          <w:rFonts w:ascii="Arial" w:hAnsi="Arial" w:cs="Arial"/>
          <w:b/>
          <w:bCs/>
          <w:sz w:val="20"/>
          <w:szCs w:val="20"/>
          <w:lang w:val="sk-SK"/>
        </w:rPr>
        <w:t>któber</w:t>
      </w:r>
      <w:r w:rsidRPr="00941FE2">
        <w:rPr>
          <w:rFonts w:ascii="Arial" w:hAnsi="Arial" w:cs="Arial"/>
          <w:b/>
          <w:bCs/>
          <w:sz w:val="20"/>
          <w:szCs w:val="20"/>
          <w:lang w:val="sk-SK"/>
        </w:rPr>
        <w:t xml:space="preserve"> 2016</w:t>
      </w:r>
      <w:r w:rsidR="002166C8" w:rsidRPr="00941FE2">
        <w:rPr>
          <w:rFonts w:ascii="Arial" w:hAnsi="Arial" w:cs="Arial"/>
          <w:b/>
          <w:bCs/>
          <w:sz w:val="20"/>
          <w:szCs w:val="20"/>
          <w:lang w:val="sk-SK"/>
        </w:rPr>
        <w:t xml:space="preserve"> – </w:t>
      </w:r>
      <w:r w:rsidR="00B26AFB">
        <w:rPr>
          <w:rFonts w:ascii="Arial" w:hAnsi="Arial" w:cs="Arial"/>
          <w:b/>
          <w:bCs/>
          <w:sz w:val="20"/>
          <w:szCs w:val="20"/>
          <w:lang w:val="sk-SK"/>
        </w:rPr>
        <w:t xml:space="preserve">Tento rok sa koná </w:t>
      </w:r>
      <w:r w:rsidR="00285C5D">
        <w:rPr>
          <w:rFonts w:ascii="Arial" w:hAnsi="Arial" w:cs="Arial"/>
          <w:b/>
          <w:bCs/>
          <w:sz w:val="20"/>
          <w:szCs w:val="20"/>
          <w:lang w:val="sk-SK"/>
        </w:rPr>
        <w:t xml:space="preserve">v Košiciach </w:t>
      </w:r>
      <w:r w:rsidR="00AF17EF" w:rsidRPr="00941FE2">
        <w:rPr>
          <w:rFonts w:ascii="Arial" w:hAnsi="Arial" w:cs="Arial"/>
          <w:b/>
          <w:bCs/>
          <w:sz w:val="20"/>
          <w:szCs w:val="20"/>
          <w:lang w:val="sk-SK"/>
        </w:rPr>
        <w:t xml:space="preserve">Kongres Slovenskej transplatologickej spoločnosti </w:t>
      </w:r>
      <w:r w:rsidRPr="00941FE2">
        <w:rPr>
          <w:rFonts w:ascii="Arial" w:hAnsi="Arial" w:cs="Arial"/>
          <w:b/>
          <w:bCs/>
          <w:sz w:val="20"/>
          <w:szCs w:val="20"/>
          <w:lang w:val="sk-SK"/>
        </w:rPr>
        <w:t>s medzinárodnou účasťou</w:t>
      </w:r>
      <w:r w:rsidR="00285C5D">
        <w:rPr>
          <w:rFonts w:ascii="Arial" w:hAnsi="Arial" w:cs="Arial"/>
          <w:b/>
          <w:bCs/>
          <w:sz w:val="20"/>
          <w:szCs w:val="20"/>
          <w:lang w:val="sk-SK"/>
        </w:rPr>
        <w:t xml:space="preserve"> v rovnakom termíne, kedy si odborná aj laická verejnosť pripomína</w:t>
      </w:r>
      <w:r w:rsidR="006763DA" w:rsidRPr="00941FE2">
        <w:rPr>
          <w:rFonts w:ascii="Arial" w:hAnsi="Arial" w:cs="Arial"/>
          <w:b/>
          <w:bCs/>
          <w:sz w:val="20"/>
          <w:szCs w:val="20"/>
          <w:lang w:val="sk-SK"/>
        </w:rPr>
        <w:t xml:space="preserve"> Európsky deň darcovstva a orgánových transplantácií.</w:t>
      </w:r>
      <w:r w:rsidR="00AF17EF" w:rsidRPr="00941FE2">
        <w:rPr>
          <w:rFonts w:ascii="Arial" w:hAnsi="Arial" w:cs="Arial"/>
          <w:b/>
          <w:bCs/>
          <w:sz w:val="20"/>
          <w:szCs w:val="20"/>
          <w:lang w:val="sk-SK"/>
        </w:rPr>
        <w:t xml:space="preserve"> Cieľom oboch pre tr</w:t>
      </w:r>
      <w:r w:rsidR="00285C5D">
        <w:rPr>
          <w:rFonts w:ascii="Arial" w:hAnsi="Arial" w:cs="Arial"/>
          <w:b/>
          <w:bCs/>
          <w:sz w:val="20"/>
          <w:szCs w:val="20"/>
          <w:lang w:val="sk-SK"/>
        </w:rPr>
        <w:t>ansplantácie významných udalostí</w:t>
      </w:r>
      <w:r w:rsidR="006D725D" w:rsidRPr="00941FE2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r w:rsidRPr="00941FE2">
        <w:rPr>
          <w:rFonts w:ascii="Arial" w:hAnsi="Arial" w:cs="Arial"/>
          <w:b/>
          <w:bCs/>
          <w:sz w:val="20"/>
          <w:szCs w:val="20"/>
          <w:lang w:val="sk-SK"/>
        </w:rPr>
        <w:t>je okrem iného</w:t>
      </w:r>
      <w:r w:rsidR="006D725D" w:rsidRPr="00941FE2">
        <w:rPr>
          <w:rFonts w:ascii="Arial" w:hAnsi="Arial" w:cs="Arial"/>
          <w:b/>
          <w:bCs/>
          <w:sz w:val="20"/>
          <w:szCs w:val="20"/>
          <w:lang w:val="sk-SK"/>
        </w:rPr>
        <w:t xml:space="preserve"> upriamiť pozornosť verejnosti na problematiku odberového a transplantačného programu. Orgánové transplantácie</w:t>
      </w:r>
      <w:r w:rsidR="00AF17EF" w:rsidRPr="00941FE2">
        <w:rPr>
          <w:rFonts w:ascii="Arial" w:hAnsi="Arial" w:cs="Arial"/>
          <w:b/>
          <w:bCs/>
          <w:sz w:val="20"/>
          <w:szCs w:val="20"/>
          <w:lang w:val="sk-SK"/>
        </w:rPr>
        <w:t xml:space="preserve"> totiž</w:t>
      </w:r>
      <w:r w:rsidR="006D725D" w:rsidRPr="00941FE2">
        <w:rPr>
          <w:rFonts w:ascii="Arial" w:hAnsi="Arial" w:cs="Arial"/>
          <w:b/>
          <w:bCs/>
          <w:sz w:val="20"/>
          <w:szCs w:val="20"/>
          <w:lang w:val="sk-SK"/>
        </w:rPr>
        <w:t xml:space="preserve"> zachraňujú ľudské životy a pomáhajú zlepšiť život pacientom, pre ktorých je transplan</w:t>
      </w:r>
      <w:r w:rsidR="009926C9" w:rsidRPr="00941FE2">
        <w:rPr>
          <w:rFonts w:ascii="Arial" w:hAnsi="Arial" w:cs="Arial"/>
          <w:b/>
          <w:bCs/>
          <w:sz w:val="20"/>
          <w:szCs w:val="20"/>
          <w:lang w:val="sk-SK"/>
        </w:rPr>
        <w:t>tácia jedinou nádejou na život. V rámci Európ</w:t>
      </w:r>
      <w:r w:rsidR="00285C5D">
        <w:rPr>
          <w:rFonts w:ascii="Arial" w:hAnsi="Arial" w:cs="Arial"/>
          <w:b/>
          <w:bCs/>
          <w:sz w:val="20"/>
          <w:szCs w:val="20"/>
          <w:lang w:val="sk-SK"/>
        </w:rPr>
        <w:t>y je k dnešnému dňu viac ako 70-</w:t>
      </w:r>
      <w:r w:rsidR="009926C9" w:rsidRPr="00941FE2">
        <w:rPr>
          <w:rFonts w:ascii="Arial" w:hAnsi="Arial" w:cs="Arial"/>
          <w:b/>
          <w:bCs/>
          <w:sz w:val="20"/>
          <w:szCs w:val="20"/>
          <w:lang w:val="sk-SK"/>
        </w:rPr>
        <w:t xml:space="preserve">tisíc pacientov, ktorí čakajú na transplantáciu niektorého </w:t>
      </w:r>
      <w:r w:rsidR="00285C5D">
        <w:rPr>
          <w:rFonts w:ascii="Arial" w:hAnsi="Arial" w:cs="Arial"/>
          <w:b/>
          <w:bCs/>
          <w:sz w:val="20"/>
          <w:szCs w:val="20"/>
          <w:lang w:val="sk-SK"/>
        </w:rPr>
        <w:t xml:space="preserve">zo </w:t>
      </w:r>
      <w:r w:rsidR="009926C9" w:rsidRPr="00941FE2">
        <w:rPr>
          <w:rFonts w:ascii="Arial" w:hAnsi="Arial" w:cs="Arial"/>
          <w:b/>
          <w:bCs/>
          <w:sz w:val="20"/>
          <w:szCs w:val="20"/>
          <w:lang w:val="sk-SK"/>
        </w:rPr>
        <w:t>životne dôležit</w:t>
      </w:r>
      <w:r w:rsidR="00285C5D">
        <w:rPr>
          <w:rFonts w:ascii="Arial" w:hAnsi="Arial" w:cs="Arial"/>
          <w:b/>
          <w:bCs/>
          <w:sz w:val="20"/>
          <w:szCs w:val="20"/>
          <w:lang w:val="sk-SK"/>
        </w:rPr>
        <w:t>ých</w:t>
      </w:r>
      <w:r w:rsidR="009926C9" w:rsidRPr="00941FE2">
        <w:rPr>
          <w:rFonts w:ascii="Arial" w:hAnsi="Arial" w:cs="Arial"/>
          <w:b/>
          <w:bCs/>
          <w:sz w:val="20"/>
          <w:szCs w:val="20"/>
          <w:lang w:val="sk-SK"/>
        </w:rPr>
        <w:t xml:space="preserve"> orgán</w:t>
      </w:r>
      <w:r w:rsidR="00285C5D">
        <w:rPr>
          <w:rFonts w:ascii="Arial" w:hAnsi="Arial" w:cs="Arial"/>
          <w:b/>
          <w:bCs/>
          <w:sz w:val="20"/>
          <w:szCs w:val="20"/>
          <w:lang w:val="sk-SK"/>
        </w:rPr>
        <w:t>ov</w:t>
      </w:r>
      <w:r w:rsidR="009926C9" w:rsidRPr="00941FE2">
        <w:rPr>
          <w:rFonts w:ascii="Arial" w:hAnsi="Arial" w:cs="Arial"/>
          <w:b/>
          <w:bCs/>
          <w:sz w:val="20"/>
          <w:szCs w:val="20"/>
          <w:lang w:val="sk-SK"/>
        </w:rPr>
        <w:t xml:space="preserve">. </w:t>
      </w:r>
      <w:r w:rsidR="00285C5D">
        <w:rPr>
          <w:rFonts w:ascii="Arial" w:hAnsi="Arial" w:cs="Arial"/>
          <w:b/>
          <w:bCs/>
          <w:sz w:val="20"/>
          <w:szCs w:val="20"/>
          <w:lang w:val="sk-SK"/>
        </w:rPr>
        <w:t>Aj vďaka realizovanej osvetovej kampani Sedem životov n</w:t>
      </w:r>
      <w:r w:rsidRPr="00941FE2">
        <w:rPr>
          <w:rFonts w:ascii="Arial" w:hAnsi="Arial" w:cs="Arial"/>
          <w:b/>
          <w:bCs/>
          <w:sz w:val="20"/>
          <w:szCs w:val="20"/>
          <w:lang w:val="sk-SK"/>
        </w:rPr>
        <w:t xml:space="preserve">a Slovensku </w:t>
      </w:r>
      <w:r w:rsidR="00285C5D">
        <w:rPr>
          <w:rFonts w:ascii="Arial" w:hAnsi="Arial" w:cs="Arial"/>
          <w:b/>
          <w:bCs/>
          <w:sz w:val="20"/>
          <w:szCs w:val="20"/>
          <w:lang w:val="sk-SK"/>
        </w:rPr>
        <w:t xml:space="preserve">za ostatné </w:t>
      </w:r>
      <w:r w:rsidR="002A7C47" w:rsidRPr="00941FE2">
        <w:rPr>
          <w:rFonts w:ascii="Arial" w:hAnsi="Arial" w:cs="Arial"/>
          <w:b/>
          <w:bCs/>
          <w:sz w:val="20"/>
          <w:szCs w:val="20"/>
          <w:lang w:val="sk-SK"/>
        </w:rPr>
        <w:t>dva roky</w:t>
      </w:r>
      <w:r w:rsidRPr="00941FE2">
        <w:rPr>
          <w:rFonts w:ascii="Arial" w:hAnsi="Arial" w:cs="Arial"/>
          <w:b/>
          <w:bCs/>
          <w:sz w:val="20"/>
          <w:szCs w:val="20"/>
          <w:lang w:val="sk-SK"/>
        </w:rPr>
        <w:t xml:space="preserve"> klesol počet pacientov </w:t>
      </w:r>
      <w:r w:rsidR="00AF17EF" w:rsidRPr="00941FE2">
        <w:rPr>
          <w:rFonts w:ascii="Arial" w:hAnsi="Arial" w:cs="Arial"/>
          <w:b/>
          <w:bCs/>
          <w:sz w:val="20"/>
          <w:szCs w:val="20"/>
          <w:lang w:val="sk-SK"/>
        </w:rPr>
        <w:t xml:space="preserve">čakajúcich na orgánovú transplantáciu </w:t>
      </w:r>
      <w:r w:rsidRPr="00941FE2">
        <w:rPr>
          <w:rFonts w:ascii="Arial" w:hAnsi="Arial" w:cs="Arial"/>
          <w:b/>
          <w:bCs/>
          <w:sz w:val="20"/>
          <w:szCs w:val="20"/>
          <w:lang w:val="sk-SK"/>
        </w:rPr>
        <w:t xml:space="preserve">o 24 %. </w:t>
      </w:r>
    </w:p>
    <w:p w14:paraId="657D3B8A" w14:textId="77777777" w:rsidR="00AA5770" w:rsidRDefault="00AA5770" w:rsidP="00AA5770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14:paraId="1062140C" w14:textId="389FB77F" w:rsidR="00AA5770" w:rsidRPr="00941FE2" w:rsidRDefault="00AA5770" w:rsidP="00AA5770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941FE2">
        <w:rPr>
          <w:rFonts w:ascii="Arial" w:hAnsi="Arial" w:cs="Arial"/>
          <w:i/>
          <w:sz w:val="20"/>
          <w:szCs w:val="20"/>
          <w:lang w:val="sk-SK" w:eastAsia="sk-SK"/>
        </w:rPr>
        <w:t xml:space="preserve"> „</w:t>
      </w:r>
      <w:r w:rsidR="009926C9" w:rsidRPr="00941FE2">
        <w:rPr>
          <w:rFonts w:ascii="Arial" w:hAnsi="Arial" w:cs="Arial"/>
          <w:i/>
          <w:sz w:val="20"/>
          <w:szCs w:val="20"/>
          <w:lang w:val="sk-SK" w:eastAsia="sk-SK"/>
        </w:rPr>
        <w:t>Téma darcovstva orgánov a orgánových transplantácií je veľmi aktuálna nielen u nás na Slovensku, ale aj v celej</w:t>
      </w:r>
      <w:r w:rsidR="00285C5D">
        <w:rPr>
          <w:rFonts w:ascii="Arial" w:hAnsi="Arial" w:cs="Arial"/>
          <w:i/>
          <w:sz w:val="20"/>
          <w:szCs w:val="20"/>
          <w:lang w:val="sk-SK" w:eastAsia="sk-SK"/>
        </w:rPr>
        <w:t xml:space="preserve"> Európe. V rámci nej zomiera</w:t>
      </w:r>
      <w:r w:rsidR="005D5444" w:rsidRPr="00941FE2">
        <w:rPr>
          <w:rFonts w:ascii="Arial" w:hAnsi="Arial" w:cs="Arial"/>
          <w:i/>
          <w:sz w:val="20"/>
          <w:szCs w:val="20"/>
          <w:lang w:val="sk-SK" w:eastAsia="sk-SK"/>
        </w:rPr>
        <w:t xml:space="preserve"> každý </w:t>
      </w:r>
      <w:r w:rsidR="00285C5D">
        <w:rPr>
          <w:rFonts w:ascii="Arial" w:hAnsi="Arial" w:cs="Arial"/>
          <w:i/>
          <w:sz w:val="20"/>
          <w:szCs w:val="20"/>
          <w:lang w:val="sk-SK" w:eastAsia="sk-SK"/>
        </w:rPr>
        <w:t xml:space="preserve">deň 12 pacientov, </w:t>
      </w:r>
      <w:r w:rsidR="009926C9" w:rsidRPr="00941FE2">
        <w:rPr>
          <w:rFonts w:ascii="Arial" w:hAnsi="Arial" w:cs="Arial"/>
          <w:i/>
          <w:sz w:val="20"/>
          <w:szCs w:val="20"/>
          <w:lang w:val="sk-SK" w:eastAsia="sk-SK"/>
        </w:rPr>
        <w:t xml:space="preserve">ktorí sa </w:t>
      </w:r>
      <w:r w:rsidR="00285C5D">
        <w:rPr>
          <w:rFonts w:ascii="Arial" w:hAnsi="Arial" w:cs="Arial"/>
          <w:i/>
          <w:sz w:val="20"/>
          <w:szCs w:val="20"/>
          <w:lang w:val="sk-SK" w:eastAsia="sk-SK"/>
        </w:rPr>
        <w:t>nedožijú transplantácie</w:t>
      </w:r>
      <w:r w:rsidR="009926C9" w:rsidRPr="00941FE2">
        <w:rPr>
          <w:rFonts w:ascii="Arial" w:hAnsi="Arial" w:cs="Arial"/>
          <w:i/>
          <w:sz w:val="20"/>
          <w:szCs w:val="20"/>
          <w:lang w:val="sk-SK" w:eastAsia="sk-SK"/>
        </w:rPr>
        <w:t xml:space="preserve">. </w:t>
      </w:r>
      <w:r w:rsidR="005D5444" w:rsidRPr="00941FE2">
        <w:rPr>
          <w:rFonts w:ascii="Arial" w:hAnsi="Arial" w:cs="Arial"/>
          <w:i/>
          <w:sz w:val="20"/>
          <w:szCs w:val="20"/>
          <w:lang w:val="sk-SK" w:eastAsia="sk-SK"/>
        </w:rPr>
        <w:t>Na Slovensku sme síce v medzir</w:t>
      </w:r>
      <w:r w:rsidR="00285C5D">
        <w:rPr>
          <w:rFonts w:ascii="Arial" w:hAnsi="Arial" w:cs="Arial"/>
          <w:i/>
          <w:sz w:val="20"/>
          <w:szCs w:val="20"/>
          <w:lang w:val="sk-SK" w:eastAsia="sk-SK"/>
        </w:rPr>
        <w:t>očnom porovnaní zaznamenali 24-percentný</w:t>
      </w:r>
      <w:r w:rsidR="005D5444" w:rsidRPr="00941FE2">
        <w:rPr>
          <w:rFonts w:ascii="Arial" w:hAnsi="Arial" w:cs="Arial"/>
          <w:i/>
          <w:sz w:val="20"/>
          <w:szCs w:val="20"/>
          <w:lang w:val="sk-SK" w:eastAsia="sk-SK"/>
        </w:rPr>
        <w:t xml:space="preserve"> pokles čakateľov na </w:t>
      </w:r>
      <w:r w:rsidR="00AF17EF" w:rsidRPr="00941FE2">
        <w:rPr>
          <w:rFonts w:ascii="Arial" w:hAnsi="Arial" w:cs="Arial"/>
          <w:i/>
          <w:sz w:val="20"/>
          <w:szCs w:val="20"/>
          <w:lang w:val="sk-SK" w:eastAsia="sk-SK"/>
        </w:rPr>
        <w:t xml:space="preserve">orgánovú </w:t>
      </w:r>
      <w:r w:rsidR="005D5444" w:rsidRPr="00941FE2">
        <w:rPr>
          <w:rFonts w:ascii="Arial" w:hAnsi="Arial" w:cs="Arial"/>
          <w:i/>
          <w:sz w:val="20"/>
          <w:szCs w:val="20"/>
          <w:lang w:val="sk-SK" w:eastAsia="sk-SK"/>
        </w:rPr>
        <w:t>transplantáciu, stále sa však pri odberoch orgánov od mŕtvych darcov stretávam</w:t>
      </w:r>
      <w:r w:rsidR="00262315" w:rsidRPr="00941FE2">
        <w:rPr>
          <w:rFonts w:ascii="Arial" w:hAnsi="Arial" w:cs="Arial"/>
          <w:i/>
          <w:sz w:val="20"/>
          <w:szCs w:val="20"/>
          <w:lang w:val="sk-SK" w:eastAsia="sk-SK"/>
        </w:rPr>
        <w:t xml:space="preserve">e s nevôľou pozostalej rodiny. Sme presvedčení, že treba neustále </w:t>
      </w:r>
      <w:r w:rsidR="00AF17EF" w:rsidRPr="00941FE2">
        <w:rPr>
          <w:rFonts w:ascii="Arial" w:hAnsi="Arial" w:cs="Arial"/>
          <w:i/>
          <w:sz w:val="20"/>
          <w:szCs w:val="20"/>
          <w:lang w:val="sk-SK" w:eastAsia="sk-SK"/>
        </w:rPr>
        <w:t>otvárať celospoločenskú diskusiu na túto tému a </w:t>
      </w:r>
      <w:r w:rsidR="00941FE2" w:rsidRPr="00941FE2">
        <w:rPr>
          <w:rFonts w:ascii="Arial" w:hAnsi="Arial" w:cs="Arial"/>
          <w:i/>
          <w:sz w:val="20"/>
          <w:szCs w:val="20"/>
          <w:lang w:val="sk-SK" w:eastAsia="sk-SK"/>
        </w:rPr>
        <w:t xml:space="preserve">hovoriť </w:t>
      </w:r>
      <w:r w:rsidR="00AF17EF" w:rsidRPr="00941FE2">
        <w:rPr>
          <w:rFonts w:ascii="Arial" w:hAnsi="Arial" w:cs="Arial"/>
          <w:i/>
          <w:sz w:val="20"/>
          <w:szCs w:val="20"/>
          <w:lang w:val="sk-SK" w:eastAsia="sk-SK"/>
        </w:rPr>
        <w:t>o význame darcovstva a transplantácii.</w:t>
      </w:r>
      <w:r w:rsidR="00262315" w:rsidRPr="00941FE2">
        <w:rPr>
          <w:rFonts w:ascii="Arial" w:hAnsi="Arial" w:cs="Arial"/>
          <w:i/>
          <w:sz w:val="20"/>
          <w:szCs w:val="20"/>
          <w:lang w:val="sk-SK" w:eastAsia="sk-SK"/>
        </w:rPr>
        <w:t xml:space="preserve"> Pomoc zo strany médií je v tomto prípade viac ako nevyhnutná</w:t>
      </w:r>
      <w:r w:rsidR="002D0A7C" w:rsidRPr="00941FE2">
        <w:rPr>
          <w:rFonts w:ascii="Arial" w:hAnsi="Arial" w:cs="Arial"/>
          <w:i/>
          <w:sz w:val="20"/>
          <w:szCs w:val="20"/>
          <w:lang w:val="sk-SK" w:eastAsia="sk-SK"/>
        </w:rPr>
        <w:t xml:space="preserve"> a neoceniteľná</w:t>
      </w:r>
      <w:r w:rsidR="00262315" w:rsidRPr="00941FE2">
        <w:rPr>
          <w:rFonts w:ascii="Arial" w:hAnsi="Arial" w:cs="Arial"/>
          <w:i/>
          <w:sz w:val="20"/>
          <w:szCs w:val="20"/>
          <w:lang w:val="sk-SK" w:eastAsia="sk-SK"/>
        </w:rPr>
        <w:t>, pretože bez pozitívnych príbehov o pacientoch, ktorí žijú vďaka transplantáci</w:t>
      </w:r>
      <w:r w:rsidR="002D0A7C" w:rsidRPr="00941FE2">
        <w:rPr>
          <w:rFonts w:ascii="Arial" w:hAnsi="Arial" w:cs="Arial"/>
          <w:i/>
          <w:sz w:val="20"/>
          <w:szCs w:val="20"/>
          <w:lang w:val="sk-SK" w:eastAsia="sk-SK"/>
        </w:rPr>
        <w:t>i životne dôležitého orgánu</w:t>
      </w:r>
      <w:r w:rsidR="00262315" w:rsidRPr="00941FE2">
        <w:rPr>
          <w:rFonts w:ascii="Arial" w:hAnsi="Arial" w:cs="Arial"/>
          <w:i/>
          <w:sz w:val="20"/>
          <w:szCs w:val="20"/>
          <w:lang w:val="sk-SK" w:eastAsia="sk-SK"/>
        </w:rPr>
        <w:t>, len veľmi ťažko dosiahneme uspokojivejšie výsledky</w:t>
      </w:r>
      <w:r w:rsidR="002A7C47" w:rsidRPr="00941FE2">
        <w:rPr>
          <w:rFonts w:ascii="Arial" w:hAnsi="Arial" w:cs="Arial"/>
          <w:i/>
          <w:sz w:val="20"/>
          <w:szCs w:val="20"/>
          <w:lang w:val="sk-SK" w:eastAsia="sk-SK"/>
        </w:rPr>
        <w:t>,</w:t>
      </w:r>
      <w:r w:rsidR="00397347" w:rsidRPr="00941FE2">
        <w:rPr>
          <w:rFonts w:ascii="Arial" w:hAnsi="Arial" w:cs="Arial"/>
          <w:i/>
          <w:sz w:val="20"/>
          <w:szCs w:val="20"/>
          <w:lang w:val="sk-SK" w:eastAsia="sk-SK"/>
        </w:rPr>
        <w:t xml:space="preserve">“ </w:t>
      </w:r>
      <w:r w:rsidR="00285C5D">
        <w:rPr>
          <w:rFonts w:ascii="Arial" w:hAnsi="Arial" w:cs="Arial"/>
          <w:sz w:val="20"/>
          <w:szCs w:val="20"/>
          <w:lang w:val="sk-SK" w:eastAsia="sk-SK"/>
        </w:rPr>
        <w:t>vyjadruje sa</w:t>
      </w:r>
      <w:r w:rsidRPr="00941FE2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 w:rsidR="00285C5D">
        <w:rPr>
          <w:rFonts w:ascii="Arial" w:hAnsi="Arial" w:cs="Arial"/>
          <w:sz w:val="20"/>
          <w:szCs w:val="20"/>
          <w:lang w:val="sk-SK" w:eastAsia="sk-SK"/>
        </w:rPr>
        <w:t xml:space="preserve">MUDr. </w:t>
      </w:r>
      <w:r w:rsidRPr="00941FE2">
        <w:rPr>
          <w:rFonts w:ascii="Arial" w:hAnsi="Arial" w:cs="Arial"/>
          <w:sz w:val="20"/>
          <w:szCs w:val="20"/>
          <w:lang w:val="sk-SK" w:eastAsia="sk-SK"/>
        </w:rPr>
        <w:t xml:space="preserve">Zuzana Žilinská, prezidentka Slovenskej transplantologickej spoločnosti. </w:t>
      </w:r>
    </w:p>
    <w:p w14:paraId="1DA7CDF4" w14:textId="77777777" w:rsidR="00397347" w:rsidRPr="00941FE2" w:rsidRDefault="00397347" w:rsidP="00AA5770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14:paraId="4994C8F4" w14:textId="03FB7AEA" w:rsidR="00397347" w:rsidRPr="00941FE2" w:rsidRDefault="00F86FC5" w:rsidP="00AA5770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941FE2">
        <w:rPr>
          <w:rFonts w:ascii="Arial" w:hAnsi="Arial" w:cs="Arial"/>
          <w:sz w:val="20"/>
          <w:szCs w:val="20"/>
          <w:lang w:val="sk-SK"/>
        </w:rPr>
        <w:t>Európska komisia si za motto</w:t>
      </w:r>
      <w:r w:rsidR="00262315" w:rsidRPr="00941FE2">
        <w:rPr>
          <w:rFonts w:ascii="Arial" w:hAnsi="Arial" w:cs="Arial"/>
          <w:sz w:val="20"/>
          <w:szCs w:val="20"/>
          <w:lang w:val="sk-SK"/>
        </w:rPr>
        <w:t xml:space="preserve"> </w:t>
      </w:r>
      <w:r w:rsidR="00397347" w:rsidRPr="00941FE2">
        <w:rPr>
          <w:rFonts w:ascii="Arial" w:hAnsi="Arial" w:cs="Arial"/>
          <w:sz w:val="20"/>
          <w:szCs w:val="20"/>
          <w:lang w:val="sk-SK"/>
        </w:rPr>
        <w:t>Európskeho dňa darcovstva</w:t>
      </w:r>
      <w:r w:rsidRPr="00941FE2">
        <w:rPr>
          <w:rFonts w:ascii="Arial" w:hAnsi="Arial" w:cs="Arial"/>
          <w:sz w:val="20"/>
          <w:szCs w:val="20"/>
          <w:lang w:val="sk-SK"/>
        </w:rPr>
        <w:t xml:space="preserve"> a</w:t>
      </w:r>
      <w:r w:rsidR="0093110B">
        <w:rPr>
          <w:rFonts w:ascii="Arial" w:hAnsi="Arial" w:cs="Arial"/>
          <w:sz w:val="20"/>
          <w:szCs w:val="20"/>
          <w:lang w:val="sk-SK"/>
        </w:rPr>
        <w:t xml:space="preserve"> orgánových</w:t>
      </w:r>
      <w:r w:rsidRPr="00941FE2">
        <w:rPr>
          <w:rFonts w:ascii="Arial" w:hAnsi="Arial" w:cs="Arial"/>
          <w:sz w:val="20"/>
          <w:szCs w:val="20"/>
          <w:lang w:val="sk-SK"/>
        </w:rPr>
        <w:t xml:space="preserve"> transplantácií</w:t>
      </w:r>
      <w:r w:rsidR="00397347" w:rsidRPr="00941FE2">
        <w:rPr>
          <w:rFonts w:ascii="Arial" w:hAnsi="Arial" w:cs="Arial"/>
          <w:sz w:val="20"/>
          <w:szCs w:val="20"/>
          <w:lang w:val="sk-SK"/>
        </w:rPr>
        <w:t xml:space="preserve"> zvolila výstižný slogan „Staň sa darcom a hovor o tom doma“. </w:t>
      </w:r>
      <w:r w:rsidRPr="00941FE2">
        <w:rPr>
          <w:rFonts w:ascii="Arial" w:hAnsi="Arial" w:cs="Arial"/>
          <w:sz w:val="20"/>
          <w:szCs w:val="20"/>
          <w:lang w:val="sk-SK"/>
        </w:rPr>
        <w:t>C</w:t>
      </w:r>
      <w:r w:rsidR="00397347" w:rsidRPr="00941FE2">
        <w:rPr>
          <w:rFonts w:ascii="Arial" w:hAnsi="Arial" w:cs="Arial"/>
          <w:sz w:val="20"/>
          <w:szCs w:val="20"/>
          <w:lang w:val="sk-SK"/>
        </w:rPr>
        <w:t xml:space="preserve">elospoločenská diskusia môže </w:t>
      </w:r>
      <w:r w:rsidRPr="00941FE2">
        <w:rPr>
          <w:rFonts w:ascii="Arial" w:hAnsi="Arial" w:cs="Arial"/>
          <w:sz w:val="20"/>
          <w:szCs w:val="20"/>
          <w:lang w:val="sk-SK"/>
        </w:rPr>
        <w:t xml:space="preserve">totiž </w:t>
      </w:r>
      <w:r w:rsidR="00397347" w:rsidRPr="00941FE2">
        <w:rPr>
          <w:rFonts w:ascii="Arial" w:hAnsi="Arial" w:cs="Arial"/>
          <w:sz w:val="20"/>
          <w:szCs w:val="20"/>
          <w:lang w:val="sk-SK"/>
        </w:rPr>
        <w:t>viesť k</w:t>
      </w:r>
      <w:r w:rsidR="002D0A7C" w:rsidRPr="00941FE2">
        <w:rPr>
          <w:rFonts w:ascii="Arial" w:hAnsi="Arial" w:cs="Arial"/>
          <w:sz w:val="20"/>
          <w:szCs w:val="20"/>
          <w:lang w:val="sk-SK"/>
        </w:rPr>
        <w:t> zvýšeniu počtu</w:t>
      </w:r>
      <w:r w:rsidR="00397347" w:rsidRPr="00941FE2">
        <w:rPr>
          <w:rFonts w:ascii="Arial" w:hAnsi="Arial" w:cs="Arial"/>
          <w:sz w:val="20"/>
          <w:szCs w:val="20"/>
          <w:lang w:val="sk-SK"/>
        </w:rPr>
        <w:t> transplantácií orgánov nielen v Európe, ale aj na Slovensku</w:t>
      </w:r>
      <w:r w:rsidRPr="00941FE2">
        <w:rPr>
          <w:rFonts w:ascii="Arial" w:hAnsi="Arial" w:cs="Arial"/>
          <w:sz w:val="20"/>
          <w:szCs w:val="20"/>
          <w:lang w:val="sk-SK"/>
        </w:rPr>
        <w:t xml:space="preserve">. </w:t>
      </w:r>
      <w:r w:rsidR="00262315" w:rsidRPr="00941FE2">
        <w:rPr>
          <w:rFonts w:ascii="Arial" w:hAnsi="Arial" w:cs="Arial"/>
          <w:i/>
          <w:sz w:val="20"/>
          <w:szCs w:val="20"/>
          <w:lang w:val="sk-SK"/>
        </w:rPr>
        <w:t>„</w:t>
      </w:r>
      <w:r w:rsidR="00C30B97" w:rsidRPr="00941FE2">
        <w:rPr>
          <w:rFonts w:ascii="Arial" w:hAnsi="Arial" w:cs="Arial"/>
          <w:i/>
          <w:sz w:val="20"/>
          <w:szCs w:val="20"/>
          <w:lang w:val="sk-SK"/>
        </w:rPr>
        <w:t xml:space="preserve">Pozitívne vnímame skutočnosť, že </w:t>
      </w:r>
      <w:r w:rsidR="0093110B">
        <w:rPr>
          <w:rFonts w:ascii="Arial" w:hAnsi="Arial" w:cs="Arial"/>
          <w:i/>
          <w:sz w:val="20"/>
          <w:szCs w:val="20"/>
          <w:lang w:val="sk-SK"/>
        </w:rPr>
        <w:t xml:space="preserve">sa </w:t>
      </w:r>
      <w:r w:rsidR="00C30B97" w:rsidRPr="00941FE2">
        <w:rPr>
          <w:rFonts w:ascii="Arial" w:hAnsi="Arial" w:cs="Arial"/>
          <w:i/>
          <w:sz w:val="20"/>
          <w:szCs w:val="20"/>
          <w:lang w:val="sk-SK"/>
        </w:rPr>
        <w:t>z</w:t>
      </w:r>
      <w:r w:rsidR="00262315" w:rsidRPr="00941FE2">
        <w:rPr>
          <w:rFonts w:ascii="Arial" w:hAnsi="Arial" w:cs="Arial"/>
          <w:i/>
          <w:sz w:val="20"/>
          <w:szCs w:val="20"/>
          <w:lang w:val="sk-SK"/>
        </w:rPr>
        <w:t xml:space="preserve">o strany </w:t>
      </w:r>
      <w:r w:rsidR="00E353B5" w:rsidRPr="00941FE2">
        <w:rPr>
          <w:rFonts w:ascii="Arial" w:hAnsi="Arial" w:cs="Arial"/>
          <w:i/>
          <w:sz w:val="20"/>
          <w:szCs w:val="20"/>
          <w:lang w:val="sk-SK"/>
        </w:rPr>
        <w:t>Ministerstva zdravotníctva SR</w:t>
      </w:r>
      <w:r w:rsidR="002D0A7C" w:rsidRPr="00941FE2">
        <w:rPr>
          <w:rFonts w:ascii="Arial" w:hAnsi="Arial" w:cs="Arial"/>
          <w:i/>
          <w:sz w:val="20"/>
          <w:szCs w:val="20"/>
          <w:lang w:val="sk-SK"/>
        </w:rPr>
        <w:t>, Národnej transplantačnej organizácie a zdravotných poisťovní v tomto roku zavádzajú</w:t>
      </w:r>
      <w:r w:rsidR="00C30B97" w:rsidRPr="00941FE2">
        <w:rPr>
          <w:rFonts w:ascii="Arial" w:hAnsi="Arial" w:cs="Arial"/>
          <w:i/>
          <w:sz w:val="20"/>
          <w:szCs w:val="20"/>
          <w:lang w:val="sk-SK"/>
        </w:rPr>
        <w:t xml:space="preserve"> mechanizmy na podporu odberov</w:t>
      </w:r>
      <w:r w:rsidR="0093110B">
        <w:rPr>
          <w:rFonts w:ascii="Arial" w:hAnsi="Arial" w:cs="Arial"/>
          <w:i/>
          <w:sz w:val="20"/>
          <w:szCs w:val="20"/>
          <w:lang w:val="sk-SK"/>
        </w:rPr>
        <w:t>ého a transplantačného programu. A</w:t>
      </w:r>
      <w:r w:rsidR="00C30B97" w:rsidRPr="00941FE2">
        <w:rPr>
          <w:rFonts w:ascii="Arial" w:hAnsi="Arial" w:cs="Arial"/>
          <w:i/>
          <w:sz w:val="20"/>
          <w:szCs w:val="20"/>
          <w:lang w:val="sk-SK"/>
        </w:rPr>
        <w:t>j naďalej však potrebujeme šíriť osvetu o</w:t>
      </w:r>
      <w:r w:rsidR="002D0A7C" w:rsidRPr="00941FE2">
        <w:rPr>
          <w:rFonts w:ascii="Arial" w:hAnsi="Arial" w:cs="Arial"/>
          <w:i/>
          <w:sz w:val="20"/>
          <w:szCs w:val="20"/>
          <w:lang w:val="sk-SK"/>
        </w:rPr>
        <w:t> veľmi citlivej</w:t>
      </w:r>
      <w:r w:rsidR="00C30B97" w:rsidRPr="00941FE2">
        <w:rPr>
          <w:rFonts w:ascii="Arial" w:hAnsi="Arial" w:cs="Arial"/>
          <w:i/>
          <w:sz w:val="20"/>
          <w:szCs w:val="20"/>
          <w:lang w:val="sk-SK"/>
        </w:rPr>
        <w:t xml:space="preserve"> problematike, aby sme sa z hľadiska počtu odberov a transplantácií priblížili k takým krajinám </w:t>
      </w:r>
      <w:r w:rsidR="002A7C47" w:rsidRPr="00941FE2">
        <w:rPr>
          <w:rFonts w:ascii="Arial" w:hAnsi="Arial" w:cs="Arial"/>
          <w:i/>
          <w:sz w:val="20"/>
          <w:szCs w:val="20"/>
          <w:lang w:val="sk-SK"/>
        </w:rPr>
        <w:t>ako je Španielsko či Chorvátsko,“</w:t>
      </w:r>
      <w:r w:rsidR="002A7C47" w:rsidRPr="00941FE2">
        <w:rPr>
          <w:rFonts w:ascii="Arial" w:hAnsi="Arial" w:cs="Arial"/>
          <w:sz w:val="20"/>
          <w:szCs w:val="20"/>
          <w:lang w:val="sk-SK"/>
        </w:rPr>
        <w:t xml:space="preserve"> dodáva </w:t>
      </w:r>
      <w:r w:rsidR="00784072">
        <w:rPr>
          <w:rFonts w:ascii="Arial" w:hAnsi="Arial" w:cs="Arial"/>
          <w:sz w:val="20"/>
          <w:szCs w:val="20"/>
          <w:lang w:val="sk-SK"/>
        </w:rPr>
        <w:t xml:space="preserve">MUDr. </w:t>
      </w:r>
      <w:r w:rsidR="002A7C47" w:rsidRPr="00941FE2">
        <w:rPr>
          <w:rFonts w:ascii="Arial" w:hAnsi="Arial" w:cs="Arial"/>
          <w:sz w:val="20"/>
          <w:szCs w:val="20"/>
          <w:lang w:val="sk-SK"/>
        </w:rPr>
        <w:t xml:space="preserve">Zuzana Žilinská. </w:t>
      </w:r>
      <w:r w:rsidR="00397347" w:rsidRPr="00941FE2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6BEE2522" w14:textId="77777777" w:rsidR="005C2AC4" w:rsidRDefault="005C2AC4" w:rsidP="00AA5770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350D66DB" w14:textId="05BCA40B" w:rsidR="00B430EA" w:rsidRPr="006C5E3C" w:rsidRDefault="00B430EA" w:rsidP="00AA5770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Práve Španielsko je v rámci Európy lídrom v oblasti darcovstva a orgánových transplantácií. </w:t>
      </w:r>
      <w:r w:rsidR="00A47E80">
        <w:rPr>
          <w:rFonts w:ascii="Arial" w:hAnsi="Arial" w:cs="Arial"/>
          <w:sz w:val="20"/>
          <w:szCs w:val="20"/>
          <w:lang w:val="sk-SK"/>
        </w:rPr>
        <w:t xml:space="preserve">O svojich skúsenostiach a význame osvetových kampaní hovoril v Košiciach na tlačovej konferencii aj popredný </w:t>
      </w:r>
      <w:r w:rsidR="00A47E80" w:rsidRPr="00A47E80">
        <w:rPr>
          <w:rFonts w:ascii="Arial" w:hAnsi="Arial" w:cs="Arial"/>
          <w:sz w:val="20"/>
          <w:szCs w:val="20"/>
          <w:lang w:val="sk-SK"/>
        </w:rPr>
        <w:t xml:space="preserve">koordinátor darcovstva a </w:t>
      </w:r>
      <w:r w:rsidR="00A47E80">
        <w:rPr>
          <w:rFonts w:ascii="Arial" w:hAnsi="Arial" w:cs="Arial"/>
          <w:sz w:val="20"/>
          <w:szCs w:val="20"/>
          <w:lang w:val="sk-SK"/>
        </w:rPr>
        <w:t xml:space="preserve">transplantácií v Španielsku, </w:t>
      </w:r>
      <w:r w:rsidR="00A47E80" w:rsidRPr="00A47E80">
        <w:rPr>
          <w:rFonts w:ascii="Arial" w:hAnsi="Arial" w:cs="Arial"/>
          <w:sz w:val="20"/>
          <w:szCs w:val="20"/>
          <w:lang w:val="sk-SK"/>
        </w:rPr>
        <w:t>profesor chirurgie na lekárskej fakulte v</w:t>
      </w:r>
      <w:r w:rsidR="00A47E80">
        <w:rPr>
          <w:rFonts w:ascii="Arial" w:hAnsi="Arial" w:cs="Arial"/>
          <w:sz w:val="20"/>
          <w:szCs w:val="20"/>
          <w:lang w:val="sk-SK"/>
        </w:rPr>
        <w:t> </w:t>
      </w:r>
      <w:r w:rsidR="00A47E80" w:rsidRPr="00A47E80">
        <w:rPr>
          <w:rFonts w:ascii="Arial" w:hAnsi="Arial" w:cs="Arial"/>
          <w:sz w:val="20"/>
          <w:szCs w:val="20"/>
          <w:lang w:val="sk-SK"/>
        </w:rPr>
        <w:t>Barcelone</w:t>
      </w:r>
      <w:r w:rsidR="00A47E80">
        <w:rPr>
          <w:rFonts w:ascii="Arial" w:hAnsi="Arial" w:cs="Arial"/>
          <w:sz w:val="20"/>
          <w:szCs w:val="20"/>
          <w:lang w:val="sk-SK"/>
        </w:rPr>
        <w:t xml:space="preserve">, Dr. David </w:t>
      </w:r>
      <w:proofErr w:type="spellStart"/>
      <w:r w:rsidR="00A47E80">
        <w:rPr>
          <w:rFonts w:ascii="Arial" w:hAnsi="Arial" w:cs="Arial"/>
          <w:sz w:val="20"/>
          <w:szCs w:val="20"/>
          <w:lang w:val="sk-SK"/>
        </w:rPr>
        <w:t>Paredes</w:t>
      </w:r>
      <w:proofErr w:type="spellEnd"/>
      <w:r w:rsidR="00A47E80">
        <w:rPr>
          <w:rFonts w:ascii="Arial" w:hAnsi="Arial" w:cs="Arial"/>
          <w:sz w:val="20"/>
          <w:szCs w:val="20"/>
          <w:lang w:val="sk-SK"/>
        </w:rPr>
        <w:t>. „</w:t>
      </w:r>
      <w:r w:rsidR="00A47E80" w:rsidRPr="006C5E3C">
        <w:rPr>
          <w:rFonts w:ascii="Arial" w:hAnsi="Arial" w:cs="Arial"/>
          <w:i/>
          <w:sz w:val="20"/>
          <w:szCs w:val="20"/>
          <w:lang w:val="sk-SK"/>
        </w:rPr>
        <w:t>Vzdelávanie verejnosti je k</w:t>
      </w:r>
      <w:r w:rsidR="006C5E3C">
        <w:rPr>
          <w:rFonts w:ascii="Arial" w:hAnsi="Arial" w:cs="Arial"/>
          <w:i/>
          <w:sz w:val="20"/>
          <w:szCs w:val="20"/>
          <w:lang w:val="sk-SK"/>
        </w:rPr>
        <w:t>ľúčové a je našou z</w:t>
      </w:r>
      <w:r w:rsidR="00A47E80" w:rsidRPr="006C5E3C">
        <w:rPr>
          <w:rFonts w:ascii="Arial" w:hAnsi="Arial" w:cs="Arial"/>
          <w:i/>
          <w:sz w:val="20"/>
          <w:szCs w:val="20"/>
          <w:lang w:val="sk-SK"/>
        </w:rPr>
        <w:t>odpovednosť</w:t>
      </w:r>
      <w:r w:rsidR="006C5E3C">
        <w:rPr>
          <w:rFonts w:ascii="Arial" w:hAnsi="Arial" w:cs="Arial"/>
          <w:i/>
          <w:sz w:val="20"/>
          <w:szCs w:val="20"/>
          <w:lang w:val="sk-SK"/>
        </w:rPr>
        <w:t>ou</w:t>
      </w:r>
      <w:r w:rsidR="00A47E80" w:rsidRPr="006C5E3C">
        <w:rPr>
          <w:rFonts w:ascii="Arial" w:hAnsi="Arial" w:cs="Arial"/>
          <w:i/>
          <w:sz w:val="20"/>
          <w:szCs w:val="20"/>
          <w:lang w:val="sk-SK"/>
        </w:rPr>
        <w:t xml:space="preserve"> budovať dôveru v systém, ktorým sa odbery a transplantácie orgánov riadia. </w:t>
      </w:r>
      <w:r w:rsidR="006C5E3C" w:rsidRPr="006C5E3C">
        <w:rPr>
          <w:rFonts w:ascii="Arial" w:hAnsi="Arial" w:cs="Arial"/>
          <w:i/>
          <w:sz w:val="20"/>
          <w:szCs w:val="20"/>
          <w:lang w:val="sk-SK"/>
        </w:rPr>
        <w:t xml:space="preserve">Tieto osvetové kampane sú spravidla finančne náročné. </w:t>
      </w:r>
      <w:r w:rsidR="00A47E80" w:rsidRPr="006C5E3C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6C5E3C" w:rsidRPr="006C5E3C">
        <w:rPr>
          <w:rFonts w:ascii="Arial" w:hAnsi="Arial" w:cs="Arial"/>
          <w:i/>
          <w:sz w:val="20"/>
          <w:szCs w:val="20"/>
          <w:lang w:val="sk-SK"/>
        </w:rPr>
        <w:t xml:space="preserve">Aj napriek tomu je však </w:t>
      </w:r>
      <w:r w:rsidR="00A47E80" w:rsidRPr="006C5E3C">
        <w:rPr>
          <w:rFonts w:ascii="Arial" w:hAnsi="Arial" w:cs="Arial"/>
          <w:i/>
          <w:sz w:val="20"/>
          <w:szCs w:val="20"/>
          <w:lang w:val="sk-SK"/>
        </w:rPr>
        <w:t xml:space="preserve">dôležité získavať si systematickú pozornosť verejnosti </w:t>
      </w:r>
      <w:r w:rsidR="006C5E3C" w:rsidRPr="006C5E3C">
        <w:rPr>
          <w:rFonts w:ascii="Arial" w:hAnsi="Arial" w:cs="Arial"/>
          <w:i/>
          <w:sz w:val="20"/>
          <w:szCs w:val="20"/>
          <w:lang w:val="sk-SK"/>
        </w:rPr>
        <w:t xml:space="preserve">a médií, hľadať nové cesty využívania sociálnych médií a byť schopný ponúknuť jasné odpovede na otázky týkajúce sa darcovstva a nášho </w:t>
      </w:r>
      <w:r w:rsidR="006C5E3C">
        <w:rPr>
          <w:rFonts w:ascii="Arial" w:hAnsi="Arial" w:cs="Arial"/>
          <w:i/>
          <w:sz w:val="20"/>
          <w:szCs w:val="20"/>
          <w:lang w:val="sk-SK"/>
        </w:rPr>
        <w:t>programu</w:t>
      </w:r>
      <w:r w:rsidR="006C5E3C" w:rsidRPr="006C5E3C">
        <w:rPr>
          <w:rFonts w:ascii="Arial" w:hAnsi="Arial" w:cs="Arial"/>
          <w:i/>
          <w:sz w:val="20"/>
          <w:szCs w:val="20"/>
          <w:lang w:val="sk-SK"/>
        </w:rPr>
        <w:t>.</w:t>
      </w:r>
      <w:r w:rsidR="006C5E3C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6C5E3C" w:rsidRPr="006C5E3C">
        <w:rPr>
          <w:rFonts w:ascii="Arial" w:hAnsi="Arial" w:cs="Arial"/>
          <w:i/>
          <w:sz w:val="20"/>
          <w:szCs w:val="20"/>
          <w:lang w:val="sk-SK"/>
        </w:rPr>
        <w:t xml:space="preserve">Taktiež vnímam za veľmi podstatnú podporu štátnych inštitúcií, </w:t>
      </w:r>
      <w:r w:rsidR="00C50037">
        <w:rPr>
          <w:rFonts w:ascii="Arial" w:hAnsi="Arial" w:cs="Arial"/>
          <w:i/>
          <w:sz w:val="20"/>
          <w:szCs w:val="20"/>
          <w:lang w:val="sk-SK"/>
        </w:rPr>
        <w:t xml:space="preserve">a to </w:t>
      </w:r>
      <w:r w:rsidR="006C5E3C">
        <w:rPr>
          <w:rFonts w:ascii="Arial" w:hAnsi="Arial" w:cs="Arial"/>
          <w:i/>
          <w:sz w:val="20"/>
          <w:szCs w:val="20"/>
          <w:lang w:val="sk-SK"/>
        </w:rPr>
        <w:t xml:space="preserve">tak v oblasti </w:t>
      </w:r>
      <w:r w:rsidR="00C50037">
        <w:rPr>
          <w:rFonts w:ascii="Arial" w:hAnsi="Arial" w:cs="Arial"/>
          <w:i/>
          <w:sz w:val="20"/>
          <w:szCs w:val="20"/>
          <w:lang w:val="sk-SK"/>
        </w:rPr>
        <w:t xml:space="preserve">verejnej </w:t>
      </w:r>
      <w:r w:rsidR="006C5E3C">
        <w:rPr>
          <w:rFonts w:ascii="Arial" w:hAnsi="Arial" w:cs="Arial"/>
          <w:i/>
          <w:sz w:val="20"/>
          <w:szCs w:val="20"/>
          <w:lang w:val="sk-SK"/>
        </w:rPr>
        <w:t xml:space="preserve">osvety o význame darcovstva ako aj v oblasti </w:t>
      </w:r>
      <w:r w:rsidR="00C50037">
        <w:rPr>
          <w:rFonts w:ascii="Arial" w:hAnsi="Arial" w:cs="Arial"/>
          <w:i/>
          <w:sz w:val="20"/>
          <w:szCs w:val="20"/>
          <w:lang w:val="sk-SK"/>
        </w:rPr>
        <w:t xml:space="preserve">zabezpečenia kontinuálneho tréningu a edukácie pre samotných zdravotníckych špecialistov v tejto citlivej a neustále sa rozvíjajúcej problematike,“ </w:t>
      </w:r>
      <w:r w:rsidR="00C50037" w:rsidRPr="00C50037">
        <w:rPr>
          <w:rFonts w:ascii="Arial" w:hAnsi="Arial" w:cs="Arial"/>
          <w:sz w:val="20"/>
          <w:szCs w:val="20"/>
          <w:lang w:val="sk-SK"/>
        </w:rPr>
        <w:t xml:space="preserve">uvádza Dr. David </w:t>
      </w:r>
      <w:proofErr w:type="spellStart"/>
      <w:r w:rsidR="00C50037" w:rsidRPr="00C50037">
        <w:rPr>
          <w:rFonts w:ascii="Arial" w:hAnsi="Arial" w:cs="Arial"/>
          <w:sz w:val="20"/>
          <w:szCs w:val="20"/>
          <w:lang w:val="sk-SK"/>
        </w:rPr>
        <w:t>Paredes</w:t>
      </w:r>
      <w:proofErr w:type="spellEnd"/>
      <w:r w:rsidR="00C50037" w:rsidRPr="00C50037">
        <w:rPr>
          <w:rFonts w:ascii="Arial" w:hAnsi="Arial" w:cs="Arial"/>
          <w:sz w:val="20"/>
          <w:szCs w:val="20"/>
          <w:lang w:val="sk-SK"/>
        </w:rPr>
        <w:t>.</w:t>
      </w:r>
    </w:p>
    <w:p w14:paraId="5E2FA05F" w14:textId="77777777" w:rsidR="00B430EA" w:rsidRPr="006C5E3C" w:rsidRDefault="00B430EA" w:rsidP="00AA5770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sk-SK"/>
        </w:rPr>
      </w:pPr>
    </w:p>
    <w:p w14:paraId="54F5A84E" w14:textId="77777777" w:rsidR="00B430EA" w:rsidRPr="00941FE2" w:rsidRDefault="00B430EA" w:rsidP="00AA5770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434204FE" w14:textId="56C64C21" w:rsidR="00B430EA" w:rsidRPr="00B430EA" w:rsidRDefault="00B430EA" w:rsidP="00AA5770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430EA">
        <w:rPr>
          <w:rFonts w:ascii="Arial" w:hAnsi="Arial" w:cs="Arial"/>
          <w:b/>
          <w:sz w:val="20"/>
          <w:szCs w:val="20"/>
          <w:lang w:val="sk-SK"/>
        </w:rPr>
        <w:lastRenderedPageBreak/>
        <w:t>Aktuálne štatistiky zo Slovenska</w:t>
      </w:r>
    </w:p>
    <w:p w14:paraId="2A138A28" w14:textId="4FB445A9" w:rsidR="005C2AC4" w:rsidRPr="00941FE2" w:rsidRDefault="005C2AC4" w:rsidP="00AA5770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941FE2">
        <w:rPr>
          <w:rFonts w:ascii="Arial" w:hAnsi="Arial" w:cs="Arial"/>
          <w:sz w:val="20"/>
          <w:szCs w:val="20"/>
          <w:lang w:val="sk-SK"/>
        </w:rPr>
        <w:t>Od januára 2016 bolo na</w:t>
      </w:r>
      <w:r w:rsidR="0093110B">
        <w:rPr>
          <w:rFonts w:ascii="Arial" w:hAnsi="Arial" w:cs="Arial"/>
          <w:sz w:val="20"/>
          <w:szCs w:val="20"/>
          <w:lang w:val="sk-SK"/>
        </w:rPr>
        <w:t xml:space="preserve"> </w:t>
      </w:r>
      <w:r w:rsidRPr="00941FE2">
        <w:rPr>
          <w:rFonts w:ascii="Arial" w:hAnsi="Arial" w:cs="Arial"/>
          <w:sz w:val="20"/>
          <w:szCs w:val="20"/>
          <w:lang w:val="sk-SK"/>
        </w:rPr>
        <w:t xml:space="preserve"> Slovensku r</w:t>
      </w:r>
      <w:r w:rsidR="00A11302" w:rsidRPr="00941FE2">
        <w:rPr>
          <w:rFonts w:ascii="Arial" w:hAnsi="Arial" w:cs="Arial"/>
          <w:sz w:val="20"/>
          <w:szCs w:val="20"/>
          <w:lang w:val="sk-SK"/>
        </w:rPr>
        <w:t>ealizovaných 143 transplantácií, č</w:t>
      </w:r>
      <w:r w:rsidRPr="00941FE2">
        <w:rPr>
          <w:rFonts w:ascii="Arial" w:hAnsi="Arial" w:cs="Arial"/>
          <w:sz w:val="20"/>
          <w:szCs w:val="20"/>
          <w:lang w:val="sk-SK"/>
        </w:rPr>
        <w:t xml:space="preserve">o je v porovnaní </w:t>
      </w:r>
      <w:r w:rsidR="0093110B">
        <w:rPr>
          <w:rFonts w:ascii="Arial" w:hAnsi="Arial" w:cs="Arial"/>
          <w:sz w:val="20"/>
          <w:szCs w:val="20"/>
          <w:lang w:val="sk-SK"/>
        </w:rPr>
        <w:t>s rovnakým obdobím</w:t>
      </w:r>
      <w:r w:rsidRPr="00941FE2">
        <w:rPr>
          <w:rFonts w:ascii="Arial" w:hAnsi="Arial" w:cs="Arial"/>
          <w:sz w:val="20"/>
          <w:szCs w:val="20"/>
          <w:lang w:val="sk-SK"/>
        </w:rPr>
        <w:t> minul</w:t>
      </w:r>
      <w:r w:rsidR="0093110B">
        <w:rPr>
          <w:rFonts w:ascii="Arial" w:hAnsi="Arial" w:cs="Arial"/>
          <w:sz w:val="20"/>
          <w:szCs w:val="20"/>
          <w:lang w:val="sk-SK"/>
        </w:rPr>
        <w:t>ého roka mierny pokles. Avšak</w:t>
      </w:r>
      <w:r w:rsidRPr="00941FE2">
        <w:rPr>
          <w:rFonts w:ascii="Arial" w:hAnsi="Arial" w:cs="Arial"/>
          <w:sz w:val="20"/>
          <w:szCs w:val="20"/>
          <w:lang w:val="sk-SK"/>
        </w:rPr>
        <w:t xml:space="preserve"> v porovna</w:t>
      </w:r>
      <w:r w:rsidR="002D0A7C" w:rsidRPr="00941FE2">
        <w:rPr>
          <w:rFonts w:ascii="Arial" w:hAnsi="Arial" w:cs="Arial"/>
          <w:sz w:val="20"/>
          <w:szCs w:val="20"/>
          <w:lang w:val="sk-SK"/>
        </w:rPr>
        <w:t>n</w:t>
      </w:r>
      <w:r w:rsidRPr="00941FE2">
        <w:rPr>
          <w:rFonts w:ascii="Arial" w:hAnsi="Arial" w:cs="Arial"/>
          <w:sz w:val="20"/>
          <w:szCs w:val="20"/>
          <w:lang w:val="sk-SK"/>
        </w:rPr>
        <w:t>í s</w:t>
      </w:r>
      <w:r w:rsidR="002D0A7C" w:rsidRPr="00941FE2">
        <w:rPr>
          <w:rFonts w:ascii="Arial" w:hAnsi="Arial" w:cs="Arial"/>
          <w:sz w:val="20"/>
          <w:szCs w:val="20"/>
          <w:lang w:val="sk-SK"/>
        </w:rPr>
        <w:t> kr</w:t>
      </w:r>
      <w:r w:rsidR="006763DA" w:rsidRPr="00941FE2">
        <w:rPr>
          <w:rFonts w:ascii="Arial" w:hAnsi="Arial" w:cs="Arial"/>
          <w:sz w:val="20"/>
          <w:szCs w:val="20"/>
          <w:lang w:val="sk-SK"/>
        </w:rPr>
        <w:t>itickým</w:t>
      </w:r>
      <w:r w:rsidR="002D0A7C" w:rsidRPr="00941FE2">
        <w:rPr>
          <w:rFonts w:ascii="Arial" w:hAnsi="Arial" w:cs="Arial"/>
          <w:sz w:val="20"/>
          <w:szCs w:val="20"/>
          <w:lang w:val="sk-SK"/>
        </w:rPr>
        <w:t xml:space="preserve"> rokom </w:t>
      </w:r>
      <w:r w:rsidRPr="00941FE2">
        <w:rPr>
          <w:rFonts w:ascii="Arial" w:hAnsi="Arial" w:cs="Arial"/>
          <w:sz w:val="20"/>
          <w:szCs w:val="20"/>
          <w:lang w:val="sk-SK"/>
        </w:rPr>
        <w:t>2014, teda</w:t>
      </w:r>
      <w:r w:rsidR="0093110B">
        <w:rPr>
          <w:rFonts w:ascii="Arial" w:hAnsi="Arial" w:cs="Arial"/>
          <w:sz w:val="20"/>
          <w:szCs w:val="20"/>
          <w:lang w:val="sk-SK"/>
        </w:rPr>
        <w:t xml:space="preserve"> obdobím</w:t>
      </w:r>
      <w:r w:rsidRPr="00941FE2">
        <w:rPr>
          <w:rFonts w:ascii="Arial" w:hAnsi="Arial" w:cs="Arial"/>
          <w:sz w:val="20"/>
          <w:szCs w:val="20"/>
          <w:lang w:val="sk-SK"/>
        </w:rPr>
        <w:t xml:space="preserve"> pred spustením osvetovej kampane Sedem životov</w:t>
      </w:r>
      <w:r w:rsidR="002D0A7C" w:rsidRPr="00941FE2">
        <w:rPr>
          <w:rFonts w:ascii="Arial" w:hAnsi="Arial" w:cs="Arial"/>
          <w:sz w:val="20"/>
          <w:szCs w:val="20"/>
          <w:lang w:val="sk-SK"/>
        </w:rPr>
        <w:t>,</w:t>
      </w:r>
      <w:r w:rsidRPr="00941FE2">
        <w:rPr>
          <w:rFonts w:ascii="Arial" w:hAnsi="Arial" w:cs="Arial"/>
          <w:sz w:val="20"/>
          <w:szCs w:val="20"/>
          <w:lang w:val="sk-SK"/>
        </w:rPr>
        <w:t xml:space="preserve"> </w:t>
      </w:r>
      <w:r w:rsidR="0093110B">
        <w:rPr>
          <w:rFonts w:ascii="Arial" w:hAnsi="Arial" w:cs="Arial"/>
          <w:sz w:val="20"/>
          <w:szCs w:val="20"/>
          <w:lang w:val="sk-SK"/>
        </w:rPr>
        <w:t>ide o </w:t>
      </w:r>
      <w:r w:rsidRPr="00941FE2">
        <w:rPr>
          <w:rFonts w:ascii="Arial" w:hAnsi="Arial" w:cs="Arial"/>
          <w:sz w:val="20"/>
          <w:szCs w:val="20"/>
          <w:lang w:val="sk-SK"/>
        </w:rPr>
        <w:t>nárast</w:t>
      </w:r>
      <w:r w:rsidR="0093110B">
        <w:rPr>
          <w:rFonts w:ascii="Arial" w:hAnsi="Arial" w:cs="Arial"/>
          <w:sz w:val="20"/>
          <w:szCs w:val="20"/>
          <w:lang w:val="sk-SK"/>
        </w:rPr>
        <w:t xml:space="preserve"> počtu realizovaných transplantácií</w:t>
      </w:r>
      <w:r w:rsidRPr="00941FE2">
        <w:rPr>
          <w:rFonts w:ascii="Arial" w:hAnsi="Arial" w:cs="Arial"/>
          <w:sz w:val="20"/>
          <w:szCs w:val="20"/>
          <w:lang w:val="sk-SK"/>
        </w:rPr>
        <w:t xml:space="preserve">. </w:t>
      </w:r>
      <w:r w:rsidR="002D0A7C" w:rsidRPr="007873D7">
        <w:rPr>
          <w:rFonts w:ascii="Arial" w:hAnsi="Arial" w:cs="Arial"/>
          <w:sz w:val="20"/>
          <w:szCs w:val="20"/>
          <w:lang w:val="sk-SK"/>
        </w:rPr>
        <w:t>„</w:t>
      </w:r>
      <w:r w:rsidR="002D0A7C" w:rsidRPr="007873D7">
        <w:rPr>
          <w:rFonts w:ascii="Arial" w:hAnsi="Arial" w:cs="Arial"/>
          <w:i/>
          <w:sz w:val="20"/>
          <w:szCs w:val="20"/>
          <w:lang w:val="sk-SK"/>
        </w:rPr>
        <w:t>Vnímame pozitívny dopad</w:t>
      </w:r>
      <w:r w:rsidR="006763DA" w:rsidRPr="007873D7">
        <w:rPr>
          <w:rFonts w:ascii="Arial" w:hAnsi="Arial" w:cs="Arial"/>
          <w:i/>
          <w:sz w:val="20"/>
          <w:szCs w:val="20"/>
          <w:lang w:val="sk-SK"/>
        </w:rPr>
        <w:t xml:space="preserve"> kampane</w:t>
      </w:r>
      <w:r w:rsidR="007873D7" w:rsidRPr="007873D7">
        <w:rPr>
          <w:rFonts w:ascii="Arial" w:hAnsi="Arial" w:cs="Arial"/>
          <w:i/>
          <w:sz w:val="20"/>
          <w:szCs w:val="20"/>
          <w:lang w:val="sk-SK"/>
        </w:rPr>
        <w:t xml:space="preserve"> Sedem životov</w:t>
      </w:r>
      <w:r w:rsidR="002D0A7C" w:rsidRPr="007873D7">
        <w:rPr>
          <w:rFonts w:ascii="Arial" w:hAnsi="Arial" w:cs="Arial"/>
          <w:i/>
          <w:sz w:val="20"/>
          <w:szCs w:val="20"/>
          <w:lang w:val="sk-SK"/>
        </w:rPr>
        <w:t xml:space="preserve"> na </w:t>
      </w:r>
      <w:r w:rsidR="006763DA" w:rsidRPr="007873D7">
        <w:rPr>
          <w:rFonts w:ascii="Arial" w:hAnsi="Arial" w:cs="Arial"/>
          <w:i/>
          <w:sz w:val="20"/>
          <w:szCs w:val="20"/>
          <w:lang w:val="sk-SK"/>
        </w:rPr>
        <w:t>verejnú mienku</w:t>
      </w:r>
      <w:r w:rsidR="002D0A7C" w:rsidRPr="007873D7">
        <w:rPr>
          <w:rFonts w:ascii="Arial" w:hAnsi="Arial" w:cs="Arial"/>
          <w:i/>
          <w:sz w:val="20"/>
          <w:szCs w:val="20"/>
          <w:lang w:val="sk-SK"/>
        </w:rPr>
        <w:t xml:space="preserve">, čo sa </w:t>
      </w:r>
      <w:r w:rsidR="007873D7" w:rsidRPr="007873D7">
        <w:rPr>
          <w:rFonts w:ascii="Arial" w:hAnsi="Arial" w:cs="Arial"/>
          <w:i/>
          <w:sz w:val="20"/>
          <w:szCs w:val="20"/>
          <w:lang w:val="sk-SK"/>
        </w:rPr>
        <w:t>za ostatné dva roky od jej spustenia na Slovensku</w:t>
      </w:r>
      <w:r w:rsidR="002D0A7C" w:rsidRPr="007873D7">
        <w:rPr>
          <w:rFonts w:ascii="Arial" w:hAnsi="Arial" w:cs="Arial"/>
          <w:i/>
          <w:sz w:val="20"/>
          <w:szCs w:val="20"/>
          <w:lang w:val="sk-SK"/>
        </w:rPr>
        <w:t xml:space="preserve"> odzrkadlilo</w:t>
      </w:r>
      <w:r w:rsidR="007873D7" w:rsidRPr="007873D7">
        <w:rPr>
          <w:rFonts w:ascii="Arial" w:hAnsi="Arial" w:cs="Arial"/>
          <w:i/>
          <w:sz w:val="20"/>
          <w:szCs w:val="20"/>
          <w:lang w:val="sk-SK"/>
        </w:rPr>
        <w:t xml:space="preserve"> celkovým</w:t>
      </w:r>
      <w:r w:rsidR="002D0A7C" w:rsidRPr="007873D7">
        <w:rPr>
          <w:rFonts w:ascii="Arial" w:hAnsi="Arial" w:cs="Arial"/>
          <w:i/>
          <w:sz w:val="20"/>
          <w:szCs w:val="20"/>
          <w:lang w:val="sk-SK"/>
        </w:rPr>
        <w:t xml:space="preserve"> poklesom </w:t>
      </w:r>
      <w:r w:rsidR="007873D7" w:rsidRPr="007873D7">
        <w:rPr>
          <w:rFonts w:ascii="Arial" w:hAnsi="Arial" w:cs="Arial"/>
          <w:i/>
          <w:sz w:val="20"/>
          <w:szCs w:val="20"/>
          <w:lang w:val="sk-SK"/>
        </w:rPr>
        <w:t>pacientov čakajúcich na transplantáciu niektorého zo životne dôležitých orgánov o 24 %</w:t>
      </w:r>
      <w:r w:rsidR="0093110B" w:rsidRPr="007873D7">
        <w:rPr>
          <w:rFonts w:ascii="Arial" w:hAnsi="Arial" w:cs="Arial"/>
          <w:i/>
          <w:sz w:val="20"/>
          <w:szCs w:val="20"/>
          <w:lang w:val="sk-SK"/>
        </w:rPr>
        <w:t>,</w:t>
      </w:r>
      <w:r w:rsidR="00145D05" w:rsidRPr="007873D7">
        <w:rPr>
          <w:rFonts w:ascii="Arial" w:hAnsi="Arial" w:cs="Arial"/>
          <w:sz w:val="20"/>
          <w:szCs w:val="20"/>
          <w:lang w:val="sk-SK"/>
        </w:rPr>
        <w:t>“</w:t>
      </w:r>
      <w:r w:rsidR="002D0A7C" w:rsidRPr="00941FE2">
        <w:rPr>
          <w:rFonts w:ascii="Arial" w:hAnsi="Arial" w:cs="Arial"/>
          <w:sz w:val="20"/>
          <w:szCs w:val="20"/>
          <w:lang w:val="sk-SK"/>
        </w:rPr>
        <w:t xml:space="preserve"> </w:t>
      </w:r>
      <w:r w:rsidR="00145D05" w:rsidRPr="00941FE2">
        <w:rPr>
          <w:rFonts w:ascii="Arial" w:hAnsi="Arial" w:cs="Arial"/>
          <w:sz w:val="20"/>
          <w:szCs w:val="20"/>
          <w:lang w:val="sk-SK"/>
        </w:rPr>
        <w:t xml:space="preserve">vysvetľuje </w:t>
      </w:r>
      <w:r w:rsidR="0093110B">
        <w:rPr>
          <w:rFonts w:ascii="Arial" w:hAnsi="Arial" w:cs="Arial"/>
          <w:sz w:val="20"/>
          <w:szCs w:val="20"/>
          <w:lang w:val="sk-SK"/>
        </w:rPr>
        <w:t xml:space="preserve">MUDr. </w:t>
      </w:r>
      <w:r w:rsidR="00145D05" w:rsidRPr="00941FE2">
        <w:rPr>
          <w:rFonts w:ascii="Arial" w:hAnsi="Arial" w:cs="Arial"/>
          <w:sz w:val="20"/>
          <w:szCs w:val="20"/>
          <w:lang w:val="sk-SK"/>
        </w:rPr>
        <w:t>Daniel Kuba, riaditeľ Národnej transplantačnej organizácie</w:t>
      </w:r>
      <w:r w:rsidR="002D0A7C" w:rsidRPr="00941FE2">
        <w:rPr>
          <w:rFonts w:ascii="Arial" w:hAnsi="Arial" w:cs="Arial"/>
          <w:sz w:val="20"/>
          <w:szCs w:val="20"/>
          <w:lang w:val="sk-SK"/>
        </w:rPr>
        <w:t xml:space="preserve">.  </w:t>
      </w:r>
    </w:p>
    <w:p w14:paraId="3EE5A14E" w14:textId="77777777" w:rsidR="007873D7" w:rsidRPr="00941FE2" w:rsidRDefault="007873D7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sk-SK" w:eastAsia="sk-SK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2193"/>
        <w:gridCol w:w="2058"/>
        <w:gridCol w:w="2101"/>
      </w:tblGrid>
      <w:tr w:rsidR="005C2AC4" w:rsidRPr="00941FE2" w14:paraId="67511B41" w14:textId="77777777" w:rsidTr="007873D7">
        <w:tc>
          <w:tcPr>
            <w:tcW w:w="1843" w:type="dxa"/>
            <w:shd w:val="clear" w:color="auto" w:fill="F2F2F2" w:themeFill="background1" w:themeFillShade="F2"/>
          </w:tcPr>
          <w:p w14:paraId="24E1925D" w14:textId="29757A3C" w:rsidR="005C2AC4" w:rsidRPr="007873D7" w:rsidRDefault="007873D7" w:rsidP="00AA57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 w:eastAsia="sk-SK"/>
              </w:rPr>
              <w:t>p</w:t>
            </w:r>
            <w:r w:rsidR="00145D05" w:rsidRPr="007873D7">
              <w:rPr>
                <w:rFonts w:ascii="Arial" w:hAnsi="Arial" w:cs="Arial"/>
                <w:b/>
                <w:sz w:val="20"/>
                <w:szCs w:val="20"/>
                <w:lang w:val="sk-SK" w:eastAsia="sk-SK"/>
              </w:rPr>
              <w:t>očet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CB8C6E2" w14:textId="7CDA5491" w:rsidR="005C2AC4" w:rsidRPr="007873D7" w:rsidRDefault="007873D7" w:rsidP="00AA57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 w:eastAsia="sk-SK"/>
              </w:rPr>
              <w:t>2016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7B2C8C8" w14:textId="00F4F9A2" w:rsidR="005C2AC4" w:rsidRPr="007873D7" w:rsidRDefault="007873D7" w:rsidP="00AA57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 w:eastAsia="sk-SK"/>
              </w:rPr>
              <w:t>2015</w:t>
            </w:r>
          </w:p>
        </w:tc>
        <w:tc>
          <w:tcPr>
            <w:tcW w:w="2171" w:type="dxa"/>
            <w:shd w:val="clear" w:color="auto" w:fill="F2F2F2" w:themeFill="background1" w:themeFillShade="F2"/>
          </w:tcPr>
          <w:p w14:paraId="00CD8417" w14:textId="1DACC0B4" w:rsidR="005C2AC4" w:rsidRPr="007873D7" w:rsidRDefault="007873D7" w:rsidP="00AA57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 w:eastAsia="sk-SK"/>
              </w:rPr>
              <w:t>2014</w:t>
            </w:r>
          </w:p>
        </w:tc>
      </w:tr>
      <w:tr w:rsidR="005C2AC4" w:rsidRPr="00941FE2" w14:paraId="0E623172" w14:textId="77777777" w:rsidTr="005C2AC4">
        <w:tc>
          <w:tcPr>
            <w:tcW w:w="1843" w:type="dxa"/>
            <w:shd w:val="clear" w:color="auto" w:fill="D99594" w:themeFill="accent2" w:themeFillTint="99"/>
          </w:tcPr>
          <w:p w14:paraId="2D8F6F99" w14:textId="5168571A" w:rsidR="005C2AC4" w:rsidRPr="007873D7" w:rsidRDefault="007873D7" w:rsidP="00145D0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16"/>
                <w:lang w:val="sk-SK" w:eastAsia="sk-SK"/>
              </w:rPr>
            </w:pPr>
            <w:r w:rsidRPr="007873D7">
              <w:rPr>
                <w:rFonts w:ascii="Arial" w:hAnsi="Arial" w:cs="Arial"/>
                <w:b/>
                <w:sz w:val="20"/>
                <w:szCs w:val="16"/>
                <w:lang w:val="sk-SK" w:eastAsia="sk-SK"/>
              </w:rPr>
              <w:t>m</w:t>
            </w:r>
            <w:r w:rsidR="00145D05" w:rsidRPr="007873D7">
              <w:rPr>
                <w:rFonts w:ascii="Arial" w:hAnsi="Arial" w:cs="Arial"/>
                <w:b/>
                <w:sz w:val="20"/>
                <w:szCs w:val="16"/>
                <w:lang w:val="sk-SK" w:eastAsia="sk-SK"/>
              </w:rPr>
              <w:t>ŕtvi darc</w:t>
            </w:r>
            <w:r w:rsidRPr="007873D7">
              <w:rPr>
                <w:rFonts w:ascii="Arial" w:hAnsi="Arial" w:cs="Arial"/>
                <w:b/>
                <w:sz w:val="20"/>
                <w:szCs w:val="16"/>
                <w:lang w:val="sk-SK" w:eastAsia="sk-SK"/>
              </w:rPr>
              <w:t>ovia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14:paraId="72B8FD7F" w14:textId="77777777" w:rsidR="005C2AC4" w:rsidRPr="007873D7" w:rsidRDefault="00145D05" w:rsidP="00A531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7873D7">
              <w:rPr>
                <w:rFonts w:ascii="Arial" w:hAnsi="Arial" w:cs="Arial"/>
                <w:sz w:val="20"/>
                <w:szCs w:val="20"/>
                <w:lang w:val="sk-SK" w:eastAsia="sk-SK"/>
              </w:rPr>
              <w:t>53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14:paraId="3DE1E4D4" w14:textId="77777777" w:rsidR="005C2AC4" w:rsidRPr="007873D7" w:rsidRDefault="005C2AC4" w:rsidP="00A531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7873D7">
              <w:rPr>
                <w:rFonts w:ascii="Arial" w:hAnsi="Arial" w:cs="Arial"/>
                <w:sz w:val="20"/>
                <w:szCs w:val="20"/>
                <w:lang w:val="sk-SK" w:eastAsia="sk-SK"/>
              </w:rPr>
              <w:t>71</w:t>
            </w:r>
          </w:p>
        </w:tc>
        <w:tc>
          <w:tcPr>
            <w:tcW w:w="2171" w:type="dxa"/>
            <w:shd w:val="clear" w:color="auto" w:fill="D99594" w:themeFill="accent2" w:themeFillTint="99"/>
          </w:tcPr>
          <w:p w14:paraId="1E145DE1" w14:textId="77777777" w:rsidR="005C2AC4" w:rsidRPr="007873D7" w:rsidRDefault="005C2AC4" w:rsidP="00A531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7873D7">
              <w:rPr>
                <w:rFonts w:ascii="Arial" w:hAnsi="Arial" w:cs="Arial"/>
                <w:sz w:val="20"/>
                <w:szCs w:val="20"/>
                <w:lang w:val="sk-SK" w:eastAsia="sk-SK"/>
              </w:rPr>
              <w:t>45</w:t>
            </w:r>
          </w:p>
        </w:tc>
      </w:tr>
      <w:tr w:rsidR="005C2AC4" w:rsidRPr="00941FE2" w14:paraId="4A390489" w14:textId="77777777" w:rsidTr="005C2AC4">
        <w:tc>
          <w:tcPr>
            <w:tcW w:w="1843" w:type="dxa"/>
            <w:shd w:val="clear" w:color="auto" w:fill="D99594" w:themeFill="accent2" w:themeFillTint="99"/>
          </w:tcPr>
          <w:p w14:paraId="680F986F" w14:textId="475583B6" w:rsidR="005C2AC4" w:rsidRPr="007873D7" w:rsidRDefault="007873D7" w:rsidP="00145D0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16"/>
                <w:lang w:val="sk-SK" w:eastAsia="sk-SK"/>
              </w:rPr>
            </w:pPr>
            <w:r w:rsidRPr="007873D7">
              <w:rPr>
                <w:rFonts w:ascii="Arial" w:hAnsi="Arial" w:cs="Arial"/>
                <w:b/>
                <w:sz w:val="20"/>
                <w:szCs w:val="16"/>
                <w:lang w:val="sk-SK" w:eastAsia="sk-SK"/>
              </w:rPr>
              <w:t>živí darcovia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14:paraId="3957D91B" w14:textId="77777777" w:rsidR="005C2AC4" w:rsidRPr="007873D7" w:rsidRDefault="00145D05" w:rsidP="00A531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7873D7">
              <w:rPr>
                <w:rFonts w:ascii="Arial" w:hAnsi="Arial" w:cs="Arial"/>
                <w:sz w:val="20"/>
                <w:szCs w:val="20"/>
                <w:lang w:val="sk-SK" w:eastAsia="sk-SK"/>
              </w:rPr>
              <w:t>11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14:paraId="7A30A12B" w14:textId="77777777" w:rsidR="005C2AC4" w:rsidRPr="007873D7" w:rsidRDefault="005C2AC4" w:rsidP="00A531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7873D7">
              <w:rPr>
                <w:rFonts w:ascii="Arial" w:hAnsi="Arial" w:cs="Arial"/>
                <w:sz w:val="20"/>
                <w:szCs w:val="20"/>
                <w:lang w:val="sk-SK" w:eastAsia="sk-SK"/>
              </w:rPr>
              <w:t>15</w:t>
            </w:r>
          </w:p>
        </w:tc>
        <w:tc>
          <w:tcPr>
            <w:tcW w:w="2171" w:type="dxa"/>
            <w:shd w:val="clear" w:color="auto" w:fill="D99594" w:themeFill="accent2" w:themeFillTint="99"/>
          </w:tcPr>
          <w:p w14:paraId="36A3EFF3" w14:textId="77777777" w:rsidR="005C2AC4" w:rsidRPr="007873D7" w:rsidRDefault="005C2AC4" w:rsidP="00972B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7873D7">
              <w:rPr>
                <w:rFonts w:ascii="Arial" w:hAnsi="Arial" w:cs="Arial"/>
                <w:sz w:val="20"/>
                <w:szCs w:val="20"/>
                <w:lang w:val="sk-SK" w:eastAsia="sk-SK"/>
              </w:rPr>
              <w:t>12</w:t>
            </w:r>
          </w:p>
        </w:tc>
      </w:tr>
      <w:tr w:rsidR="005C2AC4" w14:paraId="328392FB" w14:textId="77777777" w:rsidTr="005C2AC4">
        <w:tc>
          <w:tcPr>
            <w:tcW w:w="1843" w:type="dxa"/>
            <w:shd w:val="clear" w:color="auto" w:fill="F2DBDB" w:themeFill="accent2" w:themeFillTint="33"/>
          </w:tcPr>
          <w:p w14:paraId="086FCBA6" w14:textId="4D876EB2" w:rsidR="005C2AC4" w:rsidRPr="007873D7" w:rsidRDefault="007873D7" w:rsidP="00145D05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  <w:lang w:val="sk-SK" w:eastAsia="sk-SK"/>
              </w:rPr>
            </w:pPr>
            <w:r w:rsidRPr="007873D7">
              <w:rPr>
                <w:rFonts w:ascii="Arial" w:hAnsi="Arial" w:cs="Arial"/>
                <w:sz w:val="20"/>
                <w:szCs w:val="16"/>
                <w:lang w:val="sk-SK" w:eastAsia="sk-SK"/>
              </w:rPr>
              <w:t>t</w:t>
            </w:r>
            <w:r w:rsidR="00145D05" w:rsidRPr="007873D7">
              <w:rPr>
                <w:rFonts w:ascii="Arial" w:hAnsi="Arial" w:cs="Arial"/>
                <w:sz w:val="20"/>
                <w:szCs w:val="16"/>
                <w:lang w:val="sk-SK" w:eastAsia="sk-SK"/>
              </w:rPr>
              <w:t xml:space="preserve">ransplantácia </w:t>
            </w:r>
            <w:r w:rsidR="00145D05" w:rsidRPr="007873D7">
              <w:rPr>
                <w:rFonts w:ascii="Arial" w:hAnsi="Arial" w:cs="Arial"/>
                <w:b/>
                <w:sz w:val="20"/>
                <w:szCs w:val="16"/>
                <w:lang w:val="sk-SK" w:eastAsia="sk-SK"/>
              </w:rPr>
              <w:t>obličky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43E4448B" w14:textId="77777777" w:rsidR="005C2AC4" w:rsidRPr="007873D7" w:rsidRDefault="005C2AC4" w:rsidP="00A531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7873D7">
              <w:rPr>
                <w:rFonts w:ascii="Arial" w:hAnsi="Arial" w:cs="Arial"/>
                <w:sz w:val="20"/>
                <w:szCs w:val="20"/>
                <w:lang w:val="sk-SK" w:eastAsia="sk-SK"/>
              </w:rPr>
              <w:t>105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27266CE7" w14:textId="77777777" w:rsidR="005C2AC4" w:rsidRPr="007873D7" w:rsidRDefault="00145D05" w:rsidP="00A531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7873D7">
              <w:rPr>
                <w:rFonts w:ascii="Arial" w:hAnsi="Arial" w:cs="Arial"/>
                <w:sz w:val="20"/>
                <w:szCs w:val="20"/>
                <w:lang w:val="sk-SK" w:eastAsia="sk-SK"/>
              </w:rPr>
              <w:t>1</w:t>
            </w:r>
            <w:r w:rsidR="006763DA" w:rsidRPr="007873D7">
              <w:rPr>
                <w:rFonts w:ascii="Arial" w:hAnsi="Arial" w:cs="Arial"/>
                <w:sz w:val="20"/>
                <w:szCs w:val="20"/>
                <w:lang w:val="sk-SK" w:eastAsia="sk-SK"/>
              </w:rPr>
              <w:t>4</w:t>
            </w:r>
            <w:r w:rsidRPr="007873D7">
              <w:rPr>
                <w:rFonts w:ascii="Arial" w:hAnsi="Arial" w:cs="Arial"/>
                <w:sz w:val="20"/>
                <w:szCs w:val="20"/>
                <w:lang w:val="sk-SK" w:eastAsia="sk-SK"/>
              </w:rPr>
              <w:t>8</w:t>
            </w:r>
          </w:p>
        </w:tc>
        <w:tc>
          <w:tcPr>
            <w:tcW w:w="2171" w:type="dxa"/>
            <w:shd w:val="clear" w:color="auto" w:fill="F2DBDB" w:themeFill="accent2" w:themeFillTint="33"/>
          </w:tcPr>
          <w:p w14:paraId="082C9CAF" w14:textId="77777777" w:rsidR="005C2AC4" w:rsidRPr="007873D7" w:rsidRDefault="006763DA" w:rsidP="00972B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7873D7">
              <w:rPr>
                <w:rFonts w:ascii="Arial" w:hAnsi="Arial" w:cs="Arial"/>
                <w:sz w:val="20"/>
                <w:szCs w:val="20"/>
                <w:lang w:val="sk-SK" w:eastAsia="sk-SK"/>
              </w:rPr>
              <w:t>91</w:t>
            </w:r>
          </w:p>
        </w:tc>
      </w:tr>
      <w:tr w:rsidR="005C2AC4" w14:paraId="3111069F" w14:textId="77777777" w:rsidTr="005C2AC4">
        <w:tc>
          <w:tcPr>
            <w:tcW w:w="1843" w:type="dxa"/>
            <w:shd w:val="clear" w:color="auto" w:fill="F2DBDB" w:themeFill="accent2" w:themeFillTint="33"/>
          </w:tcPr>
          <w:p w14:paraId="7CAA83DE" w14:textId="41E5C9D0" w:rsidR="005C2AC4" w:rsidRPr="007873D7" w:rsidRDefault="007873D7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  <w:lang w:val="sk-SK" w:eastAsia="sk-SK"/>
              </w:rPr>
            </w:pPr>
            <w:r w:rsidRPr="007873D7">
              <w:rPr>
                <w:rFonts w:ascii="Arial" w:hAnsi="Arial" w:cs="Arial"/>
                <w:sz w:val="20"/>
                <w:szCs w:val="16"/>
                <w:lang w:val="sk-SK" w:eastAsia="sk-SK"/>
              </w:rPr>
              <w:t>t</w:t>
            </w:r>
            <w:r w:rsidR="006763DA" w:rsidRPr="007873D7">
              <w:rPr>
                <w:rFonts w:ascii="Arial" w:hAnsi="Arial" w:cs="Arial"/>
                <w:sz w:val="20"/>
                <w:szCs w:val="16"/>
                <w:lang w:val="sk-SK" w:eastAsia="sk-SK"/>
              </w:rPr>
              <w:t xml:space="preserve">ransplantácia </w:t>
            </w:r>
            <w:r w:rsidR="006763DA" w:rsidRPr="007873D7">
              <w:rPr>
                <w:rFonts w:ascii="Arial" w:hAnsi="Arial" w:cs="Arial"/>
                <w:b/>
                <w:sz w:val="20"/>
                <w:szCs w:val="16"/>
                <w:lang w:val="sk-SK" w:eastAsia="sk-SK"/>
              </w:rPr>
              <w:t>pečene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3491CFF0" w14:textId="77777777" w:rsidR="005C2AC4" w:rsidRPr="007873D7" w:rsidRDefault="005C2AC4" w:rsidP="00A531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7873D7">
              <w:rPr>
                <w:rFonts w:ascii="Arial" w:hAnsi="Arial" w:cs="Arial"/>
                <w:sz w:val="20"/>
                <w:szCs w:val="20"/>
                <w:lang w:val="sk-SK" w:eastAsia="sk-SK"/>
              </w:rPr>
              <w:t>26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58E3006E" w14:textId="77777777" w:rsidR="005C2AC4" w:rsidRPr="007873D7" w:rsidRDefault="00145D05" w:rsidP="00A531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7873D7">
              <w:rPr>
                <w:rFonts w:ascii="Arial" w:hAnsi="Arial" w:cs="Arial"/>
                <w:sz w:val="20"/>
                <w:szCs w:val="20"/>
                <w:lang w:val="sk-SK" w:eastAsia="sk-SK"/>
              </w:rPr>
              <w:t>2</w:t>
            </w:r>
            <w:r w:rsidR="006763DA" w:rsidRPr="007873D7">
              <w:rPr>
                <w:rFonts w:ascii="Arial" w:hAnsi="Arial" w:cs="Arial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2171" w:type="dxa"/>
            <w:shd w:val="clear" w:color="auto" w:fill="F2DBDB" w:themeFill="accent2" w:themeFillTint="33"/>
          </w:tcPr>
          <w:p w14:paraId="1794586D" w14:textId="77777777" w:rsidR="005C2AC4" w:rsidRPr="007873D7" w:rsidRDefault="005C2AC4" w:rsidP="00A531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7873D7">
              <w:rPr>
                <w:rFonts w:ascii="Arial" w:hAnsi="Arial" w:cs="Arial"/>
                <w:sz w:val="20"/>
                <w:szCs w:val="20"/>
                <w:lang w:val="sk-SK" w:eastAsia="sk-SK"/>
              </w:rPr>
              <w:t>16</w:t>
            </w:r>
          </w:p>
        </w:tc>
      </w:tr>
      <w:tr w:rsidR="005C2AC4" w14:paraId="30A6886F" w14:textId="77777777" w:rsidTr="005C2AC4">
        <w:tc>
          <w:tcPr>
            <w:tcW w:w="1843" w:type="dxa"/>
            <w:shd w:val="clear" w:color="auto" w:fill="F2DBDB" w:themeFill="accent2" w:themeFillTint="33"/>
          </w:tcPr>
          <w:p w14:paraId="7537BE00" w14:textId="5E850D9F" w:rsidR="005C2AC4" w:rsidRPr="007873D7" w:rsidRDefault="007873D7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  <w:lang w:val="sk-SK" w:eastAsia="sk-SK"/>
              </w:rPr>
            </w:pPr>
            <w:r w:rsidRPr="007873D7">
              <w:rPr>
                <w:rFonts w:ascii="Arial" w:hAnsi="Arial" w:cs="Arial"/>
                <w:sz w:val="20"/>
                <w:szCs w:val="16"/>
                <w:lang w:val="sk-SK" w:eastAsia="sk-SK"/>
              </w:rPr>
              <w:t>t</w:t>
            </w:r>
            <w:r w:rsidR="005C2AC4" w:rsidRPr="007873D7">
              <w:rPr>
                <w:rFonts w:ascii="Arial" w:hAnsi="Arial" w:cs="Arial"/>
                <w:sz w:val="20"/>
                <w:szCs w:val="16"/>
                <w:lang w:val="sk-SK" w:eastAsia="sk-SK"/>
              </w:rPr>
              <w:t>ransplantác</w:t>
            </w:r>
            <w:r w:rsidR="006763DA" w:rsidRPr="007873D7">
              <w:rPr>
                <w:rFonts w:ascii="Arial" w:hAnsi="Arial" w:cs="Arial"/>
                <w:sz w:val="20"/>
                <w:szCs w:val="16"/>
                <w:lang w:val="sk-SK" w:eastAsia="sk-SK"/>
              </w:rPr>
              <w:t>ia</w:t>
            </w:r>
            <w:r w:rsidR="005C2AC4" w:rsidRPr="007873D7">
              <w:rPr>
                <w:rFonts w:ascii="Arial" w:hAnsi="Arial" w:cs="Arial"/>
                <w:sz w:val="20"/>
                <w:szCs w:val="16"/>
                <w:lang w:val="sk-SK" w:eastAsia="sk-SK"/>
              </w:rPr>
              <w:t xml:space="preserve"> </w:t>
            </w:r>
            <w:r w:rsidR="005C2AC4" w:rsidRPr="007873D7">
              <w:rPr>
                <w:rFonts w:ascii="Arial" w:hAnsi="Arial" w:cs="Arial"/>
                <w:b/>
                <w:sz w:val="20"/>
                <w:szCs w:val="16"/>
                <w:lang w:val="sk-SK" w:eastAsia="sk-SK"/>
              </w:rPr>
              <w:t>srdca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768107B3" w14:textId="77777777" w:rsidR="005C2AC4" w:rsidRPr="007873D7" w:rsidRDefault="005C2AC4" w:rsidP="00A531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7873D7">
              <w:rPr>
                <w:rFonts w:ascii="Arial" w:hAnsi="Arial" w:cs="Arial"/>
                <w:sz w:val="20"/>
                <w:szCs w:val="20"/>
                <w:lang w:val="sk-SK" w:eastAsia="sk-SK"/>
              </w:rPr>
              <w:t>12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4F11480D" w14:textId="77777777" w:rsidR="005C2AC4" w:rsidRPr="007873D7" w:rsidRDefault="005C2AC4" w:rsidP="00A531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7873D7">
              <w:rPr>
                <w:rFonts w:ascii="Arial" w:hAnsi="Arial" w:cs="Arial"/>
                <w:sz w:val="20"/>
                <w:szCs w:val="20"/>
                <w:lang w:val="sk-SK" w:eastAsia="sk-SK"/>
              </w:rPr>
              <w:t>22</w:t>
            </w:r>
          </w:p>
        </w:tc>
        <w:tc>
          <w:tcPr>
            <w:tcW w:w="2171" w:type="dxa"/>
            <w:shd w:val="clear" w:color="auto" w:fill="F2DBDB" w:themeFill="accent2" w:themeFillTint="33"/>
          </w:tcPr>
          <w:p w14:paraId="6505F575" w14:textId="77777777" w:rsidR="005C2AC4" w:rsidRPr="007873D7" w:rsidRDefault="005C2AC4" w:rsidP="00A531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7873D7">
              <w:rPr>
                <w:rFonts w:ascii="Arial" w:hAnsi="Arial" w:cs="Arial"/>
                <w:sz w:val="20"/>
                <w:szCs w:val="20"/>
                <w:lang w:val="sk-SK" w:eastAsia="sk-SK"/>
              </w:rPr>
              <w:t>10</w:t>
            </w:r>
          </w:p>
        </w:tc>
      </w:tr>
      <w:tr w:rsidR="005C2AC4" w14:paraId="73E8CC08" w14:textId="77777777" w:rsidTr="005C2AC4">
        <w:tc>
          <w:tcPr>
            <w:tcW w:w="1843" w:type="dxa"/>
            <w:shd w:val="clear" w:color="auto" w:fill="F2DBDB" w:themeFill="accent2" w:themeFillTint="33"/>
          </w:tcPr>
          <w:p w14:paraId="7FCCD89F" w14:textId="0E1AE946" w:rsidR="005C2AC4" w:rsidRPr="007873D7" w:rsidRDefault="007873D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16"/>
                <w:lang w:val="sk-SK" w:eastAsia="sk-SK"/>
              </w:rPr>
            </w:pPr>
            <w:r w:rsidRPr="007873D7">
              <w:rPr>
                <w:rFonts w:ascii="Arial" w:hAnsi="Arial" w:cs="Arial"/>
                <w:b/>
                <w:sz w:val="20"/>
                <w:szCs w:val="16"/>
                <w:lang w:val="sk-SK" w:eastAsia="sk-SK"/>
              </w:rPr>
              <w:t>t</w:t>
            </w:r>
            <w:r w:rsidR="006763DA" w:rsidRPr="007873D7">
              <w:rPr>
                <w:rFonts w:ascii="Arial" w:hAnsi="Arial" w:cs="Arial"/>
                <w:b/>
                <w:sz w:val="20"/>
                <w:szCs w:val="16"/>
                <w:lang w:val="sk-SK" w:eastAsia="sk-SK"/>
              </w:rPr>
              <w:t>ransplantácie</w:t>
            </w:r>
            <w:r w:rsidR="005C2AC4" w:rsidRPr="007873D7">
              <w:rPr>
                <w:rFonts w:ascii="Arial" w:hAnsi="Arial" w:cs="Arial"/>
                <w:b/>
                <w:sz w:val="20"/>
                <w:szCs w:val="16"/>
                <w:lang w:val="sk-SK" w:eastAsia="sk-SK"/>
              </w:rPr>
              <w:t xml:space="preserve"> spolu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709F44D8" w14:textId="77777777" w:rsidR="005C2AC4" w:rsidRPr="007873D7" w:rsidRDefault="005C2AC4" w:rsidP="00A531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 w:eastAsia="sk-SK"/>
              </w:rPr>
            </w:pPr>
            <w:r w:rsidRPr="007873D7">
              <w:rPr>
                <w:rFonts w:ascii="Arial" w:hAnsi="Arial" w:cs="Arial"/>
                <w:b/>
                <w:sz w:val="20"/>
                <w:szCs w:val="20"/>
                <w:lang w:val="sk-SK" w:eastAsia="sk-SK"/>
              </w:rPr>
              <w:t>143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292100B1" w14:textId="77777777" w:rsidR="005C2AC4" w:rsidRPr="007873D7" w:rsidRDefault="005C2AC4" w:rsidP="00A531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 w:eastAsia="sk-SK"/>
              </w:rPr>
            </w:pPr>
            <w:r w:rsidRPr="007873D7">
              <w:rPr>
                <w:rFonts w:ascii="Arial" w:hAnsi="Arial" w:cs="Arial"/>
                <w:b/>
                <w:sz w:val="20"/>
                <w:szCs w:val="20"/>
                <w:lang w:val="sk-SK" w:eastAsia="sk-SK"/>
              </w:rPr>
              <w:t>193</w:t>
            </w:r>
          </w:p>
        </w:tc>
        <w:tc>
          <w:tcPr>
            <w:tcW w:w="2171" w:type="dxa"/>
            <w:shd w:val="clear" w:color="auto" w:fill="F2DBDB" w:themeFill="accent2" w:themeFillTint="33"/>
          </w:tcPr>
          <w:p w14:paraId="72244144" w14:textId="77777777" w:rsidR="005C2AC4" w:rsidRPr="007873D7" w:rsidRDefault="005C2AC4" w:rsidP="00A531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 w:eastAsia="sk-SK"/>
              </w:rPr>
            </w:pPr>
            <w:r w:rsidRPr="007873D7">
              <w:rPr>
                <w:rFonts w:ascii="Arial" w:hAnsi="Arial" w:cs="Arial"/>
                <w:b/>
                <w:sz w:val="20"/>
                <w:szCs w:val="20"/>
                <w:lang w:val="sk-SK" w:eastAsia="sk-SK"/>
              </w:rPr>
              <w:t>117</w:t>
            </w:r>
          </w:p>
        </w:tc>
      </w:tr>
    </w:tbl>
    <w:p w14:paraId="44E83256" w14:textId="76C95130" w:rsidR="00AA5770" w:rsidRPr="00A531C0" w:rsidRDefault="00A531C0">
      <w:pPr>
        <w:spacing w:line="276" w:lineRule="auto"/>
        <w:jc w:val="both"/>
        <w:rPr>
          <w:rFonts w:ascii="Arial" w:hAnsi="Arial" w:cs="Arial"/>
          <w:i/>
          <w:sz w:val="18"/>
          <w:szCs w:val="18"/>
          <w:lang w:val="sk-SK" w:eastAsia="sk-SK"/>
        </w:rPr>
      </w:pPr>
      <w:r>
        <w:rPr>
          <w:rFonts w:ascii="Arial" w:hAnsi="Arial" w:cs="Arial"/>
          <w:i/>
          <w:sz w:val="18"/>
          <w:szCs w:val="18"/>
          <w:lang w:val="sk-SK" w:eastAsia="sk-SK"/>
        </w:rPr>
        <w:t>údaje v</w:t>
      </w:r>
      <w:r w:rsidR="009926C9">
        <w:rPr>
          <w:rFonts w:ascii="Arial" w:hAnsi="Arial" w:cs="Arial"/>
          <w:i/>
          <w:sz w:val="18"/>
          <w:szCs w:val="18"/>
          <w:lang w:val="sk-SK" w:eastAsia="sk-SK"/>
        </w:rPr>
        <w:t> </w:t>
      </w:r>
      <w:r w:rsidRPr="00A531C0">
        <w:rPr>
          <w:rFonts w:ascii="Arial" w:hAnsi="Arial" w:cs="Arial"/>
          <w:i/>
          <w:sz w:val="18"/>
          <w:szCs w:val="18"/>
          <w:lang w:val="sk-SK" w:eastAsia="sk-SK"/>
        </w:rPr>
        <w:t>t</w:t>
      </w:r>
      <w:r>
        <w:rPr>
          <w:rFonts w:ascii="Arial" w:hAnsi="Arial" w:cs="Arial"/>
          <w:i/>
          <w:sz w:val="18"/>
          <w:szCs w:val="18"/>
          <w:lang w:val="sk-SK" w:eastAsia="sk-SK"/>
        </w:rPr>
        <w:t>abuľke</w:t>
      </w:r>
      <w:r w:rsidR="009926C9">
        <w:rPr>
          <w:rFonts w:ascii="Arial" w:hAnsi="Arial" w:cs="Arial"/>
          <w:i/>
          <w:sz w:val="18"/>
          <w:szCs w:val="18"/>
          <w:lang w:val="sk-SK" w:eastAsia="sk-SK"/>
        </w:rPr>
        <w:t xml:space="preserve"> vyjadrujú medziročné porovnanie </w:t>
      </w:r>
      <w:r w:rsidR="007873D7">
        <w:rPr>
          <w:rFonts w:ascii="Arial" w:hAnsi="Arial" w:cs="Arial"/>
          <w:i/>
          <w:sz w:val="18"/>
          <w:szCs w:val="18"/>
          <w:lang w:val="sk-SK" w:eastAsia="sk-SK"/>
        </w:rPr>
        <w:t xml:space="preserve">vždy za obdobie od 1. </w:t>
      </w:r>
      <w:r w:rsidR="009926C9">
        <w:rPr>
          <w:rFonts w:ascii="Arial" w:hAnsi="Arial" w:cs="Arial"/>
          <w:i/>
          <w:sz w:val="18"/>
          <w:szCs w:val="18"/>
          <w:lang w:val="sk-SK" w:eastAsia="sk-SK"/>
        </w:rPr>
        <w:t>január</w:t>
      </w:r>
      <w:r w:rsidR="007873D7">
        <w:rPr>
          <w:rFonts w:ascii="Arial" w:hAnsi="Arial" w:cs="Arial"/>
          <w:i/>
          <w:sz w:val="18"/>
          <w:szCs w:val="18"/>
          <w:lang w:val="sk-SK" w:eastAsia="sk-SK"/>
        </w:rPr>
        <w:t>a  do 30. septemb</w:t>
      </w:r>
      <w:r w:rsidR="009926C9">
        <w:rPr>
          <w:rFonts w:ascii="Arial" w:hAnsi="Arial" w:cs="Arial"/>
          <w:i/>
          <w:sz w:val="18"/>
          <w:szCs w:val="18"/>
          <w:lang w:val="sk-SK" w:eastAsia="sk-SK"/>
        </w:rPr>
        <w:t>r</w:t>
      </w:r>
      <w:r w:rsidR="007873D7">
        <w:rPr>
          <w:rFonts w:ascii="Arial" w:hAnsi="Arial" w:cs="Arial"/>
          <w:i/>
          <w:sz w:val="18"/>
          <w:szCs w:val="18"/>
          <w:lang w:val="sk-SK" w:eastAsia="sk-SK"/>
        </w:rPr>
        <w:t>a v rokoch</w:t>
      </w:r>
      <w:r w:rsidR="009926C9">
        <w:rPr>
          <w:rFonts w:ascii="Arial" w:hAnsi="Arial" w:cs="Arial"/>
          <w:i/>
          <w:sz w:val="18"/>
          <w:szCs w:val="18"/>
          <w:lang w:val="sk-SK" w:eastAsia="sk-SK"/>
        </w:rPr>
        <w:t xml:space="preserve"> 2014</w:t>
      </w:r>
      <w:r w:rsidR="007873D7">
        <w:rPr>
          <w:rFonts w:ascii="Arial" w:hAnsi="Arial" w:cs="Arial"/>
          <w:i/>
          <w:sz w:val="18"/>
          <w:szCs w:val="18"/>
          <w:lang w:val="sk-SK" w:eastAsia="sk-SK"/>
        </w:rPr>
        <w:t xml:space="preserve">, </w:t>
      </w:r>
      <w:r w:rsidR="009926C9">
        <w:rPr>
          <w:rFonts w:ascii="Arial" w:hAnsi="Arial" w:cs="Arial"/>
          <w:i/>
          <w:sz w:val="18"/>
          <w:szCs w:val="18"/>
          <w:lang w:val="sk-SK" w:eastAsia="sk-SK"/>
        </w:rPr>
        <w:t xml:space="preserve">2015 </w:t>
      </w:r>
      <w:r w:rsidR="005C2AC4">
        <w:rPr>
          <w:rFonts w:ascii="Arial" w:hAnsi="Arial" w:cs="Arial"/>
          <w:i/>
          <w:sz w:val="18"/>
          <w:szCs w:val="18"/>
          <w:lang w:val="sk-SK" w:eastAsia="sk-SK"/>
        </w:rPr>
        <w:t>a 2016</w:t>
      </w:r>
    </w:p>
    <w:p w14:paraId="1AEA5FB8" w14:textId="77777777" w:rsidR="00A531C0" w:rsidRPr="00941FE2" w:rsidRDefault="00A531C0" w:rsidP="00A531C0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sk-SK"/>
        </w:rPr>
      </w:pPr>
    </w:p>
    <w:p w14:paraId="2C66C32D" w14:textId="7D5CCFCC" w:rsidR="00307E39" w:rsidRPr="00941FE2" w:rsidRDefault="00116877" w:rsidP="00B64FAF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sk-SK" w:eastAsia="sk-SK"/>
        </w:rPr>
      </w:pPr>
      <w:r w:rsidRPr="00941FE2">
        <w:rPr>
          <w:rFonts w:ascii="Arial" w:hAnsi="Arial" w:cs="Arial"/>
          <w:sz w:val="20"/>
          <w:szCs w:val="20"/>
          <w:lang w:val="sk-SK" w:eastAsia="sk-SK"/>
        </w:rPr>
        <w:t xml:space="preserve">Za </w:t>
      </w:r>
      <w:r w:rsidR="007873D7">
        <w:rPr>
          <w:rFonts w:ascii="Arial" w:hAnsi="Arial" w:cs="Arial"/>
          <w:sz w:val="20"/>
          <w:szCs w:val="20"/>
          <w:lang w:val="sk-SK" w:eastAsia="sk-SK"/>
        </w:rPr>
        <w:t>ostatné</w:t>
      </w:r>
      <w:r w:rsidR="00145D05" w:rsidRPr="00941FE2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 w:rsidRPr="00941FE2">
        <w:rPr>
          <w:rFonts w:ascii="Arial" w:hAnsi="Arial" w:cs="Arial"/>
          <w:sz w:val="20"/>
          <w:szCs w:val="20"/>
          <w:lang w:val="sk-SK" w:eastAsia="sk-SK"/>
        </w:rPr>
        <w:t xml:space="preserve">dva roky klesol </w:t>
      </w:r>
      <w:r w:rsidR="00AD02B7">
        <w:rPr>
          <w:rFonts w:ascii="Arial" w:hAnsi="Arial" w:cs="Arial"/>
          <w:sz w:val="20"/>
          <w:szCs w:val="20"/>
          <w:lang w:val="sk-SK" w:eastAsia="sk-SK"/>
        </w:rPr>
        <w:t xml:space="preserve">na čakacích </w:t>
      </w:r>
      <w:r w:rsidR="00A11302" w:rsidRPr="00941FE2">
        <w:rPr>
          <w:rFonts w:ascii="Arial" w:hAnsi="Arial" w:cs="Arial"/>
          <w:sz w:val="20"/>
          <w:szCs w:val="20"/>
          <w:lang w:val="sk-SK" w:eastAsia="sk-SK"/>
        </w:rPr>
        <w:t>listinách</w:t>
      </w:r>
      <w:r w:rsidR="00AD02B7">
        <w:rPr>
          <w:rFonts w:ascii="Arial" w:hAnsi="Arial" w:cs="Arial"/>
          <w:sz w:val="20"/>
          <w:szCs w:val="20"/>
          <w:lang w:val="sk-SK" w:eastAsia="sk-SK"/>
        </w:rPr>
        <w:t xml:space="preserve"> počet pacientov čakajúcich na transplantáciu pečene až o 46 %, v prípade pacientov čakajúcich na </w:t>
      </w:r>
      <w:r w:rsidR="00A11302" w:rsidRPr="00941FE2">
        <w:rPr>
          <w:rFonts w:ascii="Arial" w:hAnsi="Arial" w:cs="Arial"/>
          <w:sz w:val="20"/>
          <w:szCs w:val="20"/>
          <w:lang w:val="sk-SK" w:eastAsia="sk-SK"/>
        </w:rPr>
        <w:t xml:space="preserve">transplantáciu obličky </w:t>
      </w:r>
      <w:r w:rsidR="00AD02B7">
        <w:rPr>
          <w:rFonts w:ascii="Arial" w:hAnsi="Arial" w:cs="Arial"/>
          <w:sz w:val="20"/>
          <w:szCs w:val="20"/>
          <w:lang w:val="sk-SK" w:eastAsia="sk-SK"/>
        </w:rPr>
        <w:t xml:space="preserve">bol zaznamenaný pokles o 24 %. </w:t>
      </w:r>
      <w:r w:rsidR="00307E39" w:rsidRPr="00941FE2">
        <w:rPr>
          <w:rFonts w:ascii="Arial" w:hAnsi="Arial" w:cs="Arial"/>
          <w:i/>
          <w:sz w:val="20"/>
          <w:szCs w:val="20"/>
          <w:lang w:val="sk-SK" w:eastAsia="sk-SK"/>
        </w:rPr>
        <w:t>„</w:t>
      </w:r>
      <w:r w:rsidR="00A11302" w:rsidRPr="00941FE2">
        <w:rPr>
          <w:rFonts w:ascii="Arial" w:hAnsi="Arial" w:cs="Arial"/>
          <w:i/>
          <w:sz w:val="20"/>
          <w:szCs w:val="20"/>
          <w:lang w:val="sk-SK" w:eastAsia="sk-SK"/>
        </w:rPr>
        <w:t xml:space="preserve">Aj naďalej však </w:t>
      </w:r>
      <w:r w:rsidR="006763DA" w:rsidRPr="00941FE2">
        <w:rPr>
          <w:rFonts w:ascii="Arial" w:hAnsi="Arial" w:cs="Arial"/>
          <w:i/>
          <w:sz w:val="20"/>
          <w:szCs w:val="20"/>
          <w:lang w:val="sk-SK" w:eastAsia="sk-SK"/>
        </w:rPr>
        <w:t>vnímame</w:t>
      </w:r>
      <w:r w:rsidR="00A11302" w:rsidRPr="00941FE2">
        <w:rPr>
          <w:rFonts w:ascii="Arial" w:hAnsi="Arial" w:cs="Arial"/>
          <w:i/>
          <w:sz w:val="20"/>
          <w:szCs w:val="20"/>
          <w:lang w:val="sk-SK" w:eastAsia="sk-SK"/>
        </w:rPr>
        <w:t xml:space="preserve"> problematickú situáciu </w:t>
      </w:r>
      <w:r w:rsidR="00454810" w:rsidRPr="00941FE2">
        <w:rPr>
          <w:rFonts w:ascii="Arial" w:hAnsi="Arial" w:cs="Arial"/>
          <w:i/>
          <w:sz w:val="20"/>
          <w:szCs w:val="20"/>
          <w:lang w:val="sk-SK" w:eastAsia="sk-SK"/>
        </w:rPr>
        <w:t>v oblasti</w:t>
      </w:r>
      <w:r w:rsidR="00A11302" w:rsidRPr="00941FE2">
        <w:rPr>
          <w:rFonts w:ascii="Arial" w:hAnsi="Arial" w:cs="Arial"/>
          <w:i/>
          <w:sz w:val="20"/>
          <w:szCs w:val="20"/>
          <w:lang w:val="sk-SK" w:eastAsia="sk-SK"/>
        </w:rPr>
        <w:t xml:space="preserve"> transplantácií sŕdc. Väčšina darcov totiž nevyhovuje kritériám pre</w:t>
      </w:r>
      <w:r w:rsidR="00145D05" w:rsidRPr="00941FE2">
        <w:rPr>
          <w:rFonts w:ascii="Arial" w:hAnsi="Arial" w:cs="Arial"/>
          <w:i/>
          <w:sz w:val="20"/>
          <w:szCs w:val="20"/>
          <w:lang w:val="sk-SK" w:eastAsia="sk-SK"/>
        </w:rPr>
        <w:t xml:space="preserve"> tento</w:t>
      </w:r>
      <w:r w:rsidR="00A11302" w:rsidRPr="00941FE2">
        <w:rPr>
          <w:rFonts w:ascii="Arial" w:hAnsi="Arial" w:cs="Arial"/>
          <w:i/>
          <w:sz w:val="20"/>
          <w:szCs w:val="20"/>
          <w:lang w:val="sk-SK" w:eastAsia="sk-SK"/>
        </w:rPr>
        <w:t xml:space="preserve"> transplantačný program. Len v bratislavskom regióne </w:t>
      </w:r>
      <w:r w:rsidR="00AD02B7">
        <w:rPr>
          <w:rFonts w:ascii="Arial" w:hAnsi="Arial" w:cs="Arial"/>
          <w:i/>
          <w:sz w:val="20"/>
          <w:szCs w:val="20"/>
          <w:lang w:val="sk-SK" w:eastAsia="sk-SK"/>
        </w:rPr>
        <w:t>boli zo 16 realizovaných odberov</w:t>
      </w:r>
      <w:r w:rsidR="00A11302" w:rsidRPr="00941FE2">
        <w:rPr>
          <w:rFonts w:ascii="Arial" w:hAnsi="Arial" w:cs="Arial"/>
          <w:i/>
          <w:sz w:val="20"/>
          <w:szCs w:val="20"/>
          <w:lang w:val="sk-SK" w:eastAsia="sk-SK"/>
        </w:rPr>
        <w:t xml:space="preserve"> akceptované len tri srdcia</w:t>
      </w:r>
      <w:r w:rsidR="00145D05" w:rsidRPr="00941FE2">
        <w:rPr>
          <w:rFonts w:ascii="Arial" w:hAnsi="Arial" w:cs="Arial"/>
          <w:i/>
          <w:sz w:val="20"/>
          <w:szCs w:val="20"/>
          <w:lang w:val="sk-SK" w:eastAsia="sk-SK"/>
        </w:rPr>
        <w:t xml:space="preserve">, keďže kritériá </w:t>
      </w:r>
      <w:r w:rsidR="00454810" w:rsidRPr="00941FE2">
        <w:rPr>
          <w:rFonts w:ascii="Arial" w:hAnsi="Arial" w:cs="Arial"/>
          <w:i/>
          <w:sz w:val="20"/>
          <w:szCs w:val="20"/>
          <w:lang w:val="sk-SK" w:eastAsia="sk-SK"/>
        </w:rPr>
        <w:t xml:space="preserve">pre tento typ transplantácie </w:t>
      </w:r>
      <w:r w:rsidR="00145D05" w:rsidRPr="00941FE2">
        <w:rPr>
          <w:rFonts w:ascii="Arial" w:hAnsi="Arial" w:cs="Arial"/>
          <w:i/>
          <w:sz w:val="20"/>
          <w:szCs w:val="20"/>
          <w:lang w:val="sk-SK" w:eastAsia="sk-SK"/>
        </w:rPr>
        <w:t>sú z pochopiteľných dôvodov najprísnejšie. Na druhej strane, najčastejšie sa s negatívnym postojom k darcovstvu zo strany rodiny stretávame najmä u tzv. ideálnych, teda mladý</w:t>
      </w:r>
      <w:r w:rsidR="00AD02B7">
        <w:rPr>
          <w:rFonts w:ascii="Arial" w:hAnsi="Arial" w:cs="Arial"/>
          <w:i/>
          <w:sz w:val="20"/>
          <w:szCs w:val="20"/>
          <w:lang w:val="sk-SK" w:eastAsia="sk-SK"/>
        </w:rPr>
        <w:t>ch potenciálnych darcov orgánov. Práve oni si</w:t>
      </w:r>
      <w:r w:rsidR="00145D05" w:rsidRPr="00941FE2">
        <w:rPr>
          <w:rFonts w:ascii="Arial" w:hAnsi="Arial" w:cs="Arial"/>
          <w:i/>
          <w:sz w:val="20"/>
          <w:szCs w:val="20"/>
          <w:lang w:val="sk-SK" w:eastAsia="sk-SK"/>
        </w:rPr>
        <w:t>, žiaľ, svoje orgány</w:t>
      </w:r>
      <w:r w:rsidR="00AD02B7">
        <w:rPr>
          <w:rFonts w:ascii="Arial" w:hAnsi="Arial" w:cs="Arial"/>
          <w:i/>
          <w:sz w:val="20"/>
          <w:szCs w:val="20"/>
          <w:lang w:val="sk-SK" w:eastAsia="sk-SK"/>
        </w:rPr>
        <w:t xml:space="preserve"> vrátane svojho srdca</w:t>
      </w:r>
      <w:r w:rsidR="00145D05" w:rsidRPr="00941FE2">
        <w:rPr>
          <w:rFonts w:ascii="Arial" w:hAnsi="Arial" w:cs="Arial"/>
          <w:i/>
          <w:sz w:val="20"/>
          <w:szCs w:val="20"/>
          <w:lang w:val="sk-SK" w:eastAsia="sk-SK"/>
        </w:rPr>
        <w:t xml:space="preserve"> </w:t>
      </w:r>
      <w:r w:rsidR="00AD02B7">
        <w:rPr>
          <w:rFonts w:ascii="Arial" w:hAnsi="Arial" w:cs="Arial"/>
          <w:i/>
          <w:sz w:val="20"/>
          <w:szCs w:val="20"/>
          <w:lang w:val="sk-SK" w:eastAsia="sk-SK"/>
        </w:rPr>
        <w:t>odnášajú obrazne povedané do neba</w:t>
      </w:r>
      <w:r w:rsidR="00A11302" w:rsidRPr="00941FE2">
        <w:rPr>
          <w:rFonts w:ascii="Arial" w:hAnsi="Arial" w:cs="Arial"/>
          <w:i/>
          <w:sz w:val="20"/>
          <w:szCs w:val="20"/>
          <w:lang w:val="sk-SK" w:eastAsia="sk-SK"/>
        </w:rPr>
        <w:t xml:space="preserve">,“ </w:t>
      </w:r>
      <w:r w:rsidR="00A11302" w:rsidRPr="00941FE2">
        <w:rPr>
          <w:rFonts w:ascii="Arial" w:hAnsi="Arial" w:cs="Arial"/>
          <w:sz w:val="20"/>
          <w:szCs w:val="20"/>
          <w:lang w:val="sk-SK" w:eastAsia="sk-SK"/>
        </w:rPr>
        <w:t xml:space="preserve">uzatvára </w:t>
      </w:r>
      <w:r w:rsidR="00AD02B7">
        <w:rPr>
          <w:rFonts w:ascii="Arial" w:hAnsi="Arial" w:cs="Arial"/>
          <w:sz w:val="20"/>
          <w:szCs w:val="20"/>
          <w:lang w:val="sk-SK" w:eastAsia="sk-SK"/>
        </w:rPr>
        <w:t xml:space="preserve">MUDr. </w:t>
      </w:r>
      <w:r w:rsidR="00A11302" w:rsidRPr="00941FE2">
        <w:rPr>
          <w:rFonts w:ascii="Arial" w:hAnsi="Arial" w:cs="Arial"/>
          <w:sz w:val="20"/>
          <w:szCs w:val="20"/>
          <w:lang w:val="sk-SK" w:eastAsia="sk-SK"/>
        </w:rPr>
        <w:t>Zuzana Žilinská.</w:t>
      </w:r>
      <w:r w:rsidR="00A11302" w:rsidRPr="00941FE2">
        <w:rPr>
          <w:rFonts w:ascii="Arial" w:hAnsi="Arial" w:cs="Arial"/>
          <w:i/>
          <w:sz w:val="20"/>
          <w:szCs w:val="20"/>
          <w:lang w:val="sk-SK" w:eastAsia="sk-SK"/>
        </w:rPr>
        <w:t xml:space="preserve">  </w:t>
      </w:r>
    </w:p>
    <w:p w14:paraId="399B89A7" w14:textId="77777777" w:rsidR="00A11302" w:rsidRDefault="00A11302" w:rsidP="00B64FAF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sk-SK" w:eastAsia="sk-SK"/>
        </w:rPr>
      </w:pPr>
    </w:p>
    <w:p w14:paraId="54DF1FDF" w14:textId="77777777" w:rsidR="00AD02B7" w:rsidRDefault="00AD02B7" w:rsidP="00B64FAF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sk-SK" w:eastAsia="sk-SK"/>
        </w:rPr>
      </w:pPr>
    </w:p>
    <w:p w14:paraId="1EFC8C42" w14:textId="77777777" w:rsidR="00A11302" w:rsidRDefault="00116877" w:rsidP="00B64FAF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>
        <w:rPr>
          <w:rFonts w:ascii="Arial" w:hAnsi="Arial" w:cs="Arial"/>
          <w:sz w:val="20"/>
          <w:szCs w:val="20"/>
          <w:lang w:val="sk-SK" w:eastAsia="sk-SK"/>
        </w:rPr>
        <w:t xml:space="preserve">KONIEC </w:t>
      </w:r>
    </w:p>
    <w:p w14:paraId="599D897B" w14:textId="77777777" w:rsidR="00116877" w:rsidRDefault="00116877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14:paraId="0BB014CB" w14:textId="77777777" w:rsidR="00A11302" w:rsidRPr="00A11302" w:rsidRDefault="00A11302">
      <w:pPr>
        <w:spacing w:line="276" w:lineRule="auto"/>
        <w:jc w:val="both"/>
        <w:rPr>
          <w:rFonts w:ascii="Arial" w:hAnsi="Arial" w:cs="Arial"/>
          <w:b/>
          <w:sz w:val="16"/>
          <w:szCs w:val="16"/>
          <w:lang w:val="sk-SK" w:eastAsia="sk-SK"/>
        </w:rPr>
      </w:pPr>
      <w:r w:rsidRPr="00A11302">
        <w:rPr>
          <w:rFonts w:ascii="Arial" w:hAnsi="Arial" w:cs="Arial"/>
          <w:b/>
          <w:sz w:val="16"/>
          <w:szCs w:val="16"/>
          <w:lang w:val="sk-SK" w:eastAsia="sk-SK"/>
        </w:rPr>
        <w:t>O kampani Sedem životov</w:t>
      </w:r>
    </w:p>
    <w:p w14:paraId="7D1A72CE" w14:textId="77777777" w:rsidR="007A022B" w:rsidRPr="00A11302" w:rsidRDefault="00744960">
      <w:pPr>
        <w:spacing w:line="276" w:lineRule="auto"/>
        <w:jc w:val="both"/>
        <w:rPr>
          <w:rFonts w:ascii="Arial" w:hAnsi="Arial" w:cs="Arial"/>
          <w:sz w:val="16"/>
          <w:szCs w:val="16"/>
          <w:lang w:val="sk-SK" w:eastAsia="sk-SK"/>
        </w:rPr>
      </w:pPr>
      <w:r w:rsidRPr="00A11302">
        <w:rPr>
          <w:rFonts w:ascii="Arial" w:hAnsi="Arial" w:cs="Arial"/>
          <w:sz w:val="16"/>
          <w:szCs w:val="16"/>
          <w:lang w:val="sk-SK" w:eastAsia="sk-SK"/>
        </w:rPr>
        <w:t>Jeden darca môže darovaním orgánov ako napríklad srdce, pľúca, obličky, pečeň či pankreas zach</w:t>
      </w:r>
      <w:r w:rsidR="007A022B" w:rsidRPr="00A11302">
        <w:rPr>
          <w:rFonts w:ascii="Arial" w:hAnsi="Arial" w:cs="Arial"/>
          <w:sz w:val="16"/>
          <w:szCs w:val="16"/>
          <w:lang w:val="sk-SK" w:eastAsia="sk-SK"/>
        </w:rPr>
        <w:t>rániť život až siedmim ľuďom</w:t>
      </w:r>
      <w:r w:rsidRPr="00A11302">
        <w:rPr>
          <w:rFonts w:ascii="Arial" w:hAnsi="Arial" w:cs="Arial"/>
          <w:sz w:val="16"/>
          <w:szCs w:val="16"/>
          <w:lang w:val="sk-SK" w:eastAsia="sk-SK"/>
        </w:rPr>
        <w:t>. Na orgánovú transplantáci</w:t>
      </w:r>
      <w:r w:rsidR="007A022B" w:rsidRPr="00A11302">
        <w:rPr>
          <w:rFonts w:ascii="Arial" w:hAnsi="Arial" w:cs="Arial"/>
          <w:sz w:val="16"/>
          <w:szCs w:val="16"/>
          <w:lang w:val="sk-SK" w:eastAsia="sk-SK"/>
        </w:rPr>
        <w:t>u čaká na Slovensku stále viac ako štyristo</w:t>
      </w:r>
      <w:r w:rsidRPr="00A11302">
        <w:rPr>
          <w:rFonts w:ascii="Arial" w:hAnsi="Arial" w:cs="Arial"/>
          <w:sz w:val="16"/>
          <w:szCs w:val="16"/>
          <w:lang w:val="sk-SK" w:eastAsia="sk-SK"/>
        </w:rPr>
        <w:t xml:space="preserve"> pacientov, ktorých život závisí od darcov orgánov. </w:t>
      </w:r>
      <w:r w:rsidR="007A022B" w:rsidRPr="00A11302">
        <w:rPr>
          <w:rFonts w:ascii="Arial" w:hAnsi="Arial" w:cs="Arial"/>
          <w:sz w:val="16"/>
          <w:szCs w:val="16"/>
          <w:lang w:val="sk-SK" w:eastAsia="sk-SK"/>
        </w:rPr>
        <w:t>Kampaň Sedem životov</w:t>
      </w:r>
      <w:r w:rsidR="003A7417" w:rsidRPr="00A11302">
        <w:rPr>
          <w:rFonts w:ascii="Arial" w:hAnsi="Arial" w:cs="Arial"/>
          <w:sz w:val="16"/>
          <w:szCs w:val="16"/>
          <w:lang w:val="sk-SK" w:eastAsia="sk-SK"/>
        </w:rPr>
        <w:t>,</w:t>
      </w:r>
      <w:r w:rsidR="007A022B" w:rsidRPr="00A11302">
        <w:rPr>
          <w:rFonts w:ascii="Arial" w:hAnsi="Arial" w:cs="Arial"/>
          <w:sz w:val="16"/>
          <w:szCs w:val="16"/>
          <w:lang w:val="sk-SK" w:eastAsia="sk-SK"/>
        </w:rPr>
        <w:t xml:space="preserve"> ktorú </w:t>
      </w:r>
      <w:r w:rsidR="00D96BFD" w:rsidRPr="00A11302">
        <w:rPr>
          <w:rFonts w:ascii="Arial" w:hAnsi="Arial" w:cs="Arial"/>
          <w:sz w:val="16"/>
          <w:szCs w:val="16"/>
          <w:lang w:val="sk-SK" w:eastAsia="sk-SK"/>
        </w:rPr>
        <w:t>realizuje</w:t>
      </w:r>
      <w:r w:rsidR="007A022B" w:rsidRPr="00A11302">
        <w:rPr>
          <w:rFonts w:ascii="Arial" w:hAnsi="Arial" w:cs="Arial"/>
          <w:sz w:val="16"/>
          <w:szCs w:val="16"/>
          <w:lang w:val="sk-SK" w:eastAsia="sk-SK"/>
        </w:rPr>
        <w:t xml:space="preserve"> Slovenská </w:t>
      </w:r>
      <w:proofErr w:type="spellStart"/>
      <w:r w:rsidR="007A022B" w:rsidRPr="00A11302">
        <w:rPr>
          <w:rFonts w:ascii="Arial" w:hAnsi="Arial" w:cs="Arial"/>
          <w:sz w:val="16"/>
          <w:szCs w:val="16"/>
          <w:lang w:val="sk-SK" w:eastAsia="sk-SK"/>
        </w:rPr>
        <w:t>transplan</w:t>
      </w:r>
      <w:r w:rsidR="00C6430D" w:rsidRPr="00A11302">
        <w:rPr>
          <w:rFonts w:ascii="Arial" w:hAnsi="Arial" w:cs="Arial"/>
          <w:sz w:val="16"/>
          <w:szCs w:val="16"/>
          <w:lang w:val="sk-SK" w:eastAsia="sk-SK"/>
        </w:rPr>
        <w:t>tologická</w:t>
      </w:r>
      <w:proofErr w:type="spellEnd"/>
      <w:r w:rsidR="00C6430D" w:rsidRPr="00A11302">
        <w:rPr>
          <w:rFonts w:ascii="Arial" w:hAnsi="Arial" w:cs="Arial"/>
          <w:sz w:val="16"/>
          <w:szCs w:val="16"/>
          <w:lang w:val="sk-SK" w:eastAsia="sk-SK"/>
        </w:rPr>
        <w:t xml:space="preserve"> spoločnosť</w:t>
      </w:r>
      <w:r w:rsidR="00283538" w:rsidRPr="00A11302">
        <w:rPr>
          <w:rFonts w:ascii="Arial" w:hAnsi="Arial" w:cs="Arial"/>
          <w:sz w:val="16"/>
          <w:szCs w:val="16"/>
          <w:lang w:val="sk-SK" w:eastAsia="sk-SK"/>
        </w:rPr>
        <w:t xml:space="preserve"> od apríla tohto roku</w:t>
      </w:r>
      <w:r w:rsidR="00C6430D" w:rsidRPr="00A11302">
        <w:rPr>
          <w:rFonts w:ascii="Arial" w:hAnsi="Arial" w:cs="Arial"/>
          <w:sz w:val="16"/>
          <w:szCs w:val="16"/>
          <w:lang w:val="sk-SK" w:eastAsia="sk-SK"/>
        </w:rPr>
        <w:t xml:space="preserve"> má vzdelávať</w:t>
      </w:r>
      <w:r w:rsidR="007A022B" w:rsidRPr="00A11302">
        <w:rPr>
          <w:rFonts w:ascii="Arial" w:hAnsi="Arial" w:cs="Arial"/>
          <w:sz w:val="16"/>
          <w:szCs w:val="16"/>
          <w:lang w:val="sk-SK" w:eastAsia="sk-SK"/>
        </w:rPr>
        <w:t xml:space="preserve"> verejnosť o tejto téme, </w:t>
      </w:r>
      <w:r w:rsidRPr="00A11302">
        <w:rPr>
          <w:rFonts w:ascii="Arial" w:hAnsi="Arial" w:cs="Arial"/>
          <w:sz w:val="16"/>
          <w:szCs w:val="16"/>
          <w:lang w:val="sk-SK" w:eastAsia="sk-SK"/>
        </w:rPr>
        <w:t>zvýšiť počet odbe</w:t>
      </w:r>
      <w:r w:rsidR="007A022B" w:rsidRPr="00A11302">
        <w:rPr>
          <w:rFonts w:ascii="Arial" w:hAnsi="Arial" w:cs="Arial"/>
          <w:sz w:val="16"/>
          <w:szCs w:val="16"/>
          <w:lang w:val="sk-SK" w:eastAsia="sk-SK"/>
        </w:rPr>
        <w:t>rov a orgánových transplantácií,</w:t>
      </w:r>
      <w:r w:rsidR="003A7417" w:rsidRPr="00A11302">
        <w:rPr>
          <w:rFonts w:ascii="Arial" w:hAnsi="Arial" w:cs="Arial"/>
          <w:sz w:val="16"/>
          <w:szCs w:val="16"/>
          <w:lang w:val="sk-SK" w:eastAsia="sk-SK"/>
        </w:rPr>
        <w:t xml:space="preserve"> skrátiť</w:t>
      </w:r>
      <w:r w:rsidR="007A022B" w:rsidRPr="00A11302">
        <w:rPr>
          <w:rFonts w:ascii="Arial" w:hAnsi="Arial" w:cs="Arial"/>
          <w:sz w:val="16"/>
          <w:szCs w:val="16"/>
          <w:lang w:val="sk-SK" w:eastAsia="sk-SK"/>
        </w:rPr>
        <w:t xml:space="preserve"> dobu</w:t>
      </w:r>
      <w:r w:rsidRPr="00A11302">
        <w:rPr>
          <w:rFonts w:ascii="Arial" w:hAnsi="Arial" w:cs="Arial"/>
          <w:sz w:val="16"/>
          <w:szCs w:val="16"/>
          <w:lang w:val="sk-SK" w:eastAsia="sk-SK"/>
        </w:rPr>
        <w:t xml:space="preserve"> čakania na životne dôležitý orgán a zabrániť tak predčasným úmrtiam</w:t>
      </w:r>
      <w:r w:rsidR="007A022B" w:rsidRPr="00A11302">
        <w:rPr>
          <w:rFonts w:ascii="Arial" w:hAnsi="Arial" w:cs="Arial"/>
          <w:sz w:val="16"/>
          <w:szCs w:val="16"/>
          <w:lang w:val="sk-SK" w:eastAsia="sk-SK"/>
        </w:rPr>
        <w:t>.</w:t>
      </w:r>
    </w:p>
    <w:p w14:paraId="7AB3387A" w14:textId="77777777" w:rsidR="000B77F9" w:rsidRPr="00A11302" w:rsidRDefault="000B77F9">
      <w:pPr>
        <w:spacing w:line="276" w:lineRule="auto"/>
        <w:jc w:val="both"/>
        <w:rPr>
          <w:rFonts w:ascii="Arial" w:hAnsi="Arial" w:cs="Arial"/>
          <w:sz w:val="16"/>
          <w:szCs w:val="16"/>
          <w:lang w:val="sk-SK" w:eastAsia="sk-SK"/>
        </w:rPr>
      </w:pPr>
    </w:p>
    <w:p w14:paraId="488A9309" w14:textId="77777777" w:rsidR="000B77F9" w:rsidRPr="00A11302" w:rsidRDefault="00744960">
      <w:pPr>
        <w:spacing w:line="276" w:lineRule="auto"/>
        <w:jc w:val="both"/>
        <w:rPr>
          <w:rFonts w:ascii="Arial" w:hAnsi="Arial" w:cs="Arial"/>
          <w:sz w:val="16"/>
          <w:szCs w:val="16"/>
          <w:lang w:val="sk-SK" w:eastAsia="sk-SK"/>
        </w:rPr>
      </w:pPr>
      <w:r w:rsidRPr="00A11302">
        <w:rPr>
          <w:rFonts w:ascii="Arial" w:hAnsi="Arial" w:cs="Arial"/>
          <w:sz w:val="16"/>
          <w:szCs w:val="16"/>
          <w:lang w:val="sk-SK" w:eastAsia="sk-SK"/>
        </w:rPr>
        <w:t>V súčasnosti je na Slovensku šesť pracovísk, v ktorých sa vykonávajú transplan</w:t>
      </w:r>
      <w:r w:rsidR="003D6697" w:rsidRPr="00A11302">
        <w:rPr>
          <w:rFonts w:ascii="Arial" w:hAnsi="Arial" w:cs="Arial"/>
          <w:sz w:val="16"/>
          <w:szCs w:val="16"/>
          <w:lang w:val="sk-SK" w:eastAsia="sk-SK"/>
        </w:rPr>
        <w:t xml:space="preserve">tácie orgánov: tri v Bratislave a jedno </w:t>
      </w:r>
      <w:r w:rsidRPr="00A11302">
        <w:rPr>
          <w:rFonts w:ascii="Arial" w:hAnsi="Arial" w:cs="Arial"/>
          <w:sz w:val="16"/>
          <w:szCs w:val="16"/>
          <w:lang w:val="sk-SK" w:eastAsia="sk-SK"/>
        </w:rPr>
        <w:t>v Banskej Bystrici, Košiciach a v Martine. Transplantácie pľúc sa u indikovaných pacientov z</w:t>
      </w:r>
      <w:r w:rsidR="003D6697" w:rsidRPr="00A11302">
        <w:rPr>
          <w:rFonts w:ascii="Arial" w:hAnsi="Arial" w:cs="Arial"/>
          <w:sz w:val="16"/>
          <w:szCs w:val="16"/>
          <w:lang w:val="sk-SK" w:eastAsia="sk-SK"/>
        </w:rPr>
        <w:t>o Slovenska vykonávajú v AKH vo</w:t>
      </w:r>
      <w:r w:rsidRPr="00A11302">
        <w:rPr>
          <w:rFonts w:ascii="Arial" w:hAnsi="Arial" w:cs="Arial"/>
          <w:sz w:val="16"/>
          <w:szCs w:val="16"/>
          <w:lang w:val="sk-SK" w:eastAsia="sk-SK"/>
        </w:rPr>
        <w:t xml:space="preserve"> Viedni.</w:t>
      </w:r>
    </w:p>
    <w:p w14:paraId="07379DB5" w14:textId="77777777" w:rsidR="00164B0A" w:rsidRPr="00A11302" w:rsidRDefault="00164B0A">
      <w:pPr>
        <w:spacing w:line="276" w:lineRule="auto"/>
        <w:jc w:val="both"/>
        <w:rPr>
          <w:rFonts w:ascii="Arial" w:hAnsi="Arial" w:cs="Arial"/>
          <w:sz w:val="16"/>
          <w:szCs w:val="16"/>
          <w:lang w:val="sk-SK" w:eastAsia="sk-SK"/>
        </w:rPr>
      </w:pPr>
    </w:p>
    <w:p w14:paraId="7BA9EFA2" w14:textId="77777777" w:rsidR="000B77F9" w:rsidRPr="00A11302" w:rsidRDefault="00744960">
      <w:pPr>
        <w:spacing w:line="276" w:lineRule="auto"/>
        <w:jc w:val="both"/>
        <w:rPr>
          <w:rFonts w:ascii="Arial" w:hAnsi="Arial" w:cs="Arial"/>
          <w:sz w:val="16"/>
          <w:szCs w:val="16"/>
          <w:lang w:val="sk-SK" w:eastAsia="sk-SK"/>
        </w:rPr>
      </w:pPr>
      <w:r w:rsidRPr="00A11302">
        <w:rPr>
          <w:rFonts w:ascii="Arial" w:hAnsi="Arial" w:cs="Arial"/>
          <w:sz w:val="16"/>
          <w:szCs w:val="16"/>
          <w:lang w:val="sk-SK" w:eastAsia="sk-SK"/>
        </w:rPr>
        <w:t>Viac informácií ako aj všetky aktuálne štatistiky týkajúce sa odberového a transplan</w:t>
      </w:r>
      <w:r w:rsidR="009C03E6" w:rsidRPr="00A11302">
        <w:rPr>
          <w:rFonts w:ascii="Arial" w:hAnsi="Arial" w:cs="Arial"/>
          <w:sz w:val="16"/>
          <w:szCs w:val="16"/>
          <w:lang w:val="sk-SK" w:eastAsia="sk-SK"/>
        </w:rPr>
        <w:t>tačného programu na Slovensku sú</w:t>
      </w:r>
      <w:r w:rsidR="00164B0A" w:rsidRPr="00A11302">
        <w:rPr>
          <w:rFonts w:ascii="Arial" w:hAnsi="Arial" w:cs="Arial"/>
          <w:sz w:val="16"/>
          <w:szCs w:val="16"/>
          <w:lang w:val="sk-SK" w:eastAsia="sk-SK"/>
        </w:rPr>
        <w:t xml:space="preserve"> k dispozícií na webovej</w:t>
      </w:r>
      <w:r w:rsidRPr="00A11302">
        <w:rPr>
          <w:rFonts w:ascii="Arial" w:hAnsi="Arial" w:cs="Arial"/>
          <w:sz w:val="16"/>
          <w:szCs w:val="16"/>
          <w:lang w:val="sk-SK" w:eastAsia="sk-SK"/>
        </w:rPr>
        <w:t xml:space="preserve"> stránke </w:t>
      </w:r>
      <w:hyperlink r:id="rId8" w:history="1">
        <w:r w:rsidRPr="00A11302">
          <w:rPr>
            <w:rStyle w:val="Hypertextovprepojenie"/>
            <w:rFonts w:ascii="Arial" w:hAnsi="Arial" w:cs="Arial"/>
            <w:sz w:val="16"/>
            <w:szCs w:val="16"/>
            <w:lang w:val="sk-SK" w:eastAsia="sk-SK"/>
          </w:rPr>
          <w:t>www.sedemzivotov.sk</w:t>
        </w:r>
      </w:hyperlink>
      <w:r w:rsidRPr="00A11302">
        <w:rPr>
          <w:rFonts w:ascii="Arial" w:hAnsi="Arial" w:cs="Arial"/>
          <w:sz w:val="16"/>
          <w:szCs w:val="16"/>
          <w:lang w:val="sk-SK" w:eastAsia="sk-SK"/>
        </w:rPr>
        <w:t>.</w:t>
      </w:r>
    </w:p>
    <w:p w14:paraId="415B139C" w14:textId="77777777" w:rsidR="002F2D3D" w:rsidRDefault="002F2D3D" w:rsidP="009E1CF2">
      <w:pPr>
        <w:spacing w:line="276" w:lineRule="auto"/>
        <w:jc w:val="both"/>
        <w:rPr>
          <w:rFonts w:ascii="Arial" w:hAnsi="Arial" w:cs="Arial"/>
          <w:b/>
          <w:sz w:val="16"/>
          <w:szCs w:val="16"/>
          <w:lang w:val="sk-SK"/>
        </w:rPr>
      </w:pPr>
    </w:p>
    <w:p w14:paraId="5E0C27F4" w14:textId="77777777" w:rsidR="009E1CF2" w:rsidRPr="002F2D3D" w:rsidRDefault="009E1CF2" w:rsidP="009E1CF2">
      <w:pPr>
        <w:spacing w:line="276" w:lineRule="auto"/>
        <w:jc w:val="both"/>
        <w:rPr>
          <w:rFonts w:ascii="Arial" w:hAnsi="Arial" w:cs="Arial"/>
          <w:b/>
          <w:sz w:val="16"/>
          <w:szCs w:val="16"/>
          <w:lang w:val="sk-SK"/>
        </w:rPr>
      </w:pPr>
      <w:r w:rsidRPr="002F2D3D">
        <w:rPr>
          <w:rFonts w:ascii="Arial" w:hAnsi="Arial" w:cs="Arial"/>
          <w:b/>
          <w:sz w:val="16"/>
          <w:szCs w:val="16"/>
          <w:lang w:val="sk-SK"/>
        </w:rPr>
        <w:t>O Slovenskej transplantologickej spoločnosti</w:t>
      </w:r>
    </w:p>
    <w:p w14:paraId="1365A525" w14:textId="77777777" w:rsidR="009C03E6" w:rsidRPr="002F2D3D" w:rsidRDefault="009E1CF2" w:rsidP="009E1CF2">
      <w:pPr>
        <w:spacing w:line="276" w:lineRule="auto"/>
        <w:jc w:val="both"/>
        <w:rPr>
          <w:rFonts w:ascii="Arial" w:hAnsi="Arial" w:cs="Arial"/>
          <w:sz w:val="16"/>
          <w:szCs w:val="16"/>
          <w:lang w:val="sk-SK"/>
        </w:rPr>
      </w:pPr>
      <w:r w:rsidRPr="002F2D3D">
        <w:rPr>
          <w:rFonts w:ascii="Arial" w:hAnsi="Arial" w:cs="Arial"/>
          <w:sz w:val="16"/>
          <w:szCs w:val="16"/>
          <w:lang w:val="sk-SK"/>
        </w:rPr>
        <w:t xml:space="preserve">Slovenská </w:t>
      </w:r>
      <w:proofErr w:type="spellStart"/>
      <w:r w:rsidRPr="002F2D3D">
        <w:rPr>
          <w:rFonts w:ascii="Arial" w:hAnsi="Arial" w:cs="Arial"/>
          <w:sz w:val="16"/>
          <w:szCs w:val="16"/>
          <w:lang w:val="sk-SK"/>
        </w:rPr>
        <w:t>transplantologická</w:t>
      </w:r>
      <w:proofErr w:type="spellEnd"/>
      <w:r w:rsidRPr="002F2D3D">
        <w:rPr>
          <w:rFonts w:ascii="Arial" w:hAnsi="Arial" w:cs="Arial"/>
          <w:sz w:val="16"/>
          <w:szCs w:val="16"/>
          <w:lang w:val="sk-SK"/>
        </w:rPr>
        <w:t xml:space="preserve"> spoločnosť (STS) je dobrovoľná, odborná vedecká spoločnosť. Je organizačnou zložkou Slovenskej lekárskej spoločnosti, ktorej súčasťou je Sekcia transplantačných koordinátorov. Poslaním STS je prenášať vedecké poznatky a skúsenosti do vedomia širokých lekárskych vrstiev. Podieľa sa tiež na rozvoji transplantačnej medicíny a udržuje kontakty s ďalšími odbornými spoločnosťami na Slovensku i v krajinách Európy.</w:t>
      </w:r>
    </w:p>
    <w:p w14:paraId="3D7D2654" w14:textId="77777777" w:rsidR="009E1CF2" w:rsidRPr="002F2D3D" w:rsidRDefault="009E1CF2" w:rsidP="009E1CF2">
      <w:pPr>
        <w:spacing w:line="276" w:lineRule="auto"/>
        <w:jc w:val="both"/>
        <w:rPr>
          <w:rFonts w:ascii="Arial" w:hAnsi="Arial" w:cs="Arial"/>
          <w:sz w:val="16"/>
          <w:szCs w:val="16"/>
          <w:lang w:val="sk-SK"/>
        </w:rPr>
      </w:pPr>
    </w:p>
    <w:p w14:paraId="05342C9A" w14:textId="77777777" w:rsidR="009E1CF2" w:rsidRPr="002F2D3D" w:rsidRDefault="009E1CF2" w:rsidP="009E1CF2">
      <w:pPr>
        <w:spacing w:line="276" w:lineRule="auto"/>
        <w:jc w:val="both"/>
        <w:rPr>
          <w:rFonts w:ascii="Arial" w:hAnsi="Arial" w:cs="Arial"/>
          <w:sz w:val="16"/>
          <w:szCs w:val="16"/>
          <w:lang w:val="sk-SK"/>
        </w:rPr>
      </w:pPr>
      <w:r w:rsidRPr="002F2D3D">
        <w:rPr>
          <w:rFonts w:ascii="Arial" w:hAnsi="Arial" w:cs="Arial"/>
          <w:sz w:val="16"/>
          <w:szCs w:val="16"/>
          <w:lang w:val="sk-SK"/>
        </w:rPr>
        <w:lastRenderedPageBreak/>
        <w:t xml:space="preserve">Slovenská </w:t>
      </w:r>
      <w:proofErr w:type="spellStart"/>
      <w:r w:rsidRPr="002F2D3D">
        <w:rPr>
          <w:rFonts w:ascii="Arial" w:hAnsi="Arial" w:cs="Arial"/>
          <w:sz w:val="16"/>
          <w:szCs w:val="16"/>
          <w:lang w:val="sk-SK"/>
        </w:rPr>
        <w:t>transplantologická</w:t>
      </w:r>
      <w:proofErr w:type="spellEnd"/>
      <w:r w:rsidRPr="002F2D3D">
        <w:rPr>
          <w:rFonts w:ascii="Arial" w:hAnsi="Arial" w:cs="Arial"/>
          <w:sz w:val="16"/>
          <w:szCs w:val="16"/>
          <w:lang w:val="sk-SK"/>
        </w:rPr>
        <w:t xml:space="preserve"> spoločnosť sa venuje rôznym medicínskym témam a otázkam:</w:t>
      </w:r>
    </w:p>
    <w:p w14:paraId="3D9FB962" w14:textId="77777777" w:rsidR="009E1CF2" w:rsidRPr="002F2D3D" w:rsidRDefault="009E1CF2" w:rsidP="009E1CF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2F2D3D">
        <w:rPr>
          <w:rFonts w:ascii="Arial" w:hAnsi="Arial" w:cs="Arial"/>
          <w:sz w:val="16"/>
          <w:szCs w:val="16"/>
        </w:rPr>
        <w:t>súvisiacim s odbornosťou a vedeckosťou transplantácií orgánov a tkanív</w:t>
      </w:r>
    </w:p>
    <w:p w14:paraId="3397A93D" w14:textId="77777777" w:rsidR="009E1CF2" w:rsidRPr="002F2D3D" w:rsidRDefault="009E1CF2" w:rsidP="009E1CF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2F2D3D">
        <w:rPr>
          <w:rFonts w:ascii="Arial" w:hAnsi="Arial" w:cs="Arial"/>
          <w:sz w:val="16"/>
          <w:szCs w:val="16"/>
        </w:rPr>
        <w:t>možnosti uplatnenia špičkových diagnostických a liečebných postupov v medicínskej praxi</w:t>
      </w:r>
    </w:p>
    <w:p w14:paraId="5C444B52" w14:textId="77777777" w:rsidR="009E1CF2" w:rsidRPr="002F2D3D" w:rsidRDefault="009E1CF2" w:rsidP="009E1CF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2F2D3D">
        <w:rPr>
          <w:rFonts w:ascii="Arial" w:hAnsi="Arial" w:cs="Arial"/>
          <w:sz w:val="16"/>
          <w:szCs w:val="16"/>
        </w:rPr>
        <w:t>etiky lekárov a zdravotníckych pracovníkov (ako občanov i ako realizátorov diagnostických a terapeutických postupov)</w:t>
      </w:r>
    </w:p>
    <w:p w14:paraId="430A718A" w14:textId="77777777" w:rsidR="009E1CF2" w:rsidRPr="002F2D3D" w:rsidRDefault="009E1CF2" w:rsidP="009E1CF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2F2D3D">
        <w:rPr>
          <w:rFonts w:ascii="Arial" w:hAnsi="Arial" w:cs="Arial"/>
          <w:sz w:val="16"/>
          <w:szCs w:val="16"/>
        </w:rPr>
        <w:t>existujúcich a pripravovaných legislatívnych noriem v zdravotníctve</w:t>
      </w:r>
    </w:p>
    <w:p w14:paraId="02B2926E" w14:textId="77777777" w:rsidR="009E1CF2" w:rsidRPr="002F2D3D" w:rsidRDefault="009E1CF2" w:rsidP="009E1CF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2F2D3D">
        <w:rPr>
          <w:rFonts w:ascii="Arial" w:hAnsi="Arial" w:cs="Arial"/>
          <w:sz w:val="16"/>
          <w:szCs w:val="16"/>
        </w:rPr>
        <w:t>špecializácii náplne v systéme ďalšieho vzdelávania</w:t>
      </w:r>
    </w:p>
    <w:p w14:paraId="17A82A87" w14:textId="77777777" w:rsidR="009E1CF2" w:rsidRPr="002F2D3D" w:rsidRDefault="009E1CF2" w:rsidP="009E1CF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2F2D3D">
        <w:rPr>
          <w:rFonts w:ascii="Arial" w:hAnsi="Arial" w:cs="Arial"/>
          <w:sz w:val="16"/>
          <w:szCs w:val="16"/>
        </w:rPr>
        <w:t>návrhov odborníkov do rôznych komisií</w:t>
      </w:r>
      <w:r w:rsidR="002F2D3D">
        <w:rPr>
          <w:rFonts w:ascii="Arial" w:hAnsi="Arial" w:cs="Arial"/>
          <w:sz w:val="16"/>
          <w:szCs w:val="16"/>
        </w:rPr>
        <w:t xml:space="preserve">. </w:t>
      </w:r>
      <w:r w:rsidRPr="002F2D3D">
        <w:rPr>
          <w:rFonts w:ascii="Arial" w:hAnsi="Arial" w:cs="Arial"/>
          <w:sz w:val="16"/>
          <w:szCs w:val="16"/>
        </w:rPr>
        <w:t xml:space="preserve">Viac informácií nájdete na stránke </w:t>
      </w:r>
      <w:hyperlink r:id="rId9" w:history="1">
        <w:r w:rsidRPr="002F2D3D">
          <w:rPr>
            <w:rStyle w:val="Hypertextovprepojenie"/>
            <w:rFonts w:ascii="Arial" w:hAnsi="Arial" w:cs="Arial"/>
            <w:sz w:val="16"/>
            <w:szCs w:val="16"/>
          </w:rPr>
          <w:t>www.transplant.sk</w:t>
        </w:r>
      </w:hyperlink>
    </w:p>
    <w:p w14:paraId="29744919" w14:textId="77777777" w:rsidR="00116877" w:rsidRDefault="00116877">
      <w:pPr>
        <w:spacing w:line="360" w:lineRule="auto"/>
        <w:jc w:val="both"/>
        <w:rPr>
          <w:rFonts w:ascii="Arial" w:hAnsi="Arial" w:cs="Arial"/>
          <w:b/>
          <w:color w:val="232323"/>
          <w:sz w:val="16"/>
          <w:szCs w:val="16"/>
          <w:lang w:val="sk-SK"/>
        </w:rPr>
      </w:pPr>
    </w:p>
    <w:p w14:paraId="6D251C92" w14:textId="77777777" w:rsidR="00343CB5" w:rsidRPr="002F2D3D" w:rsidRDefault="00343CB5">
      <w:pPr>
        <w:spacing w:line="360" w:lineRule="auto"/>
        <w:jc w:val="both"/>
        <w:rPr>
          <w:rFonts w:ascii="Arial" w:hAnsi="Arial" w:cs="Arial"/>
          <w:b/>
          <w:color w:val="232323"/>
          <w:sz w:val="16"/>
          <w:szCs w:val="16"/>
          <w:lang w:val="sk-SK"/>
        </w:rPr>
      </w:pPr>
      <w:r w:rsidRPr="002F2D3D">
        <w:rPr>
          <w:rFonts w:ascii="Arial" w:hAnsi="Arial" w:cs="Arial"/>
          <w:b/>
          <w:color w:val="232323"/>
          <w:sz w:val="16"/>
          <w:szCs w:val="16"/>
          <w:lang w:val="sk-SK"/>
        </w:rPr>
        <w:t>V prípade záujmu</w:t>
      </w:r>
      <w:r w:rsidR="009E1CF2" w:rsidRPr="002F2D3D">
        <w:rPr>
          <w:rFonts w:ascii="Arial" w:hAnsi="Arial" w:cs="Arial"/>
          <w:b/>
          <w:color w:val="232323"/>
          <w:sz w:val="16"/>
          <w:szCs w:val="16"/>
          <w:lang w:val="sk-SK"/>
        </w:rPr>
        <w:t xml:space="preserve"> o ďalšie informácie</w:t>
      </w:r>
      <w:r w:rsidRPr="002F2D3D">
        <w:rPr>
          <w:rFonts w:ascii="Arial" w:hAnsi="Arial" w:cs="Arial"/>
          <w:b/>
          <w:color w:val="232323"/>
          <w:sz w:val="16"/>
          <w:szCs w:val="16"/>
          <w:lang w:val="sk-SK"/>
        </w:rPr>
        <w:t xml:space="preserve">, prosím, kontaktujte: </w:t>
      </w:r>
    </w:p>
    <w:p w14:paraId="43C5FABC" w14:textId="77777777" w:rsidR="009E1CF2" w:rsidRPr="002F2D3D" w:rsidRDefault="009E1CF2">
      <w:pPr>
        <w:spacing w:line="360" w:lineRule="auto"/>
        <w:jc w:val="both"/>
        <w:rPr>
          <w:rFonts w:ascii="Arial" w:hAnsi="Arial" w:cs="Arial"/>
          <w:color w:val="232323"/>
          <w:sz w:val="16"/>
          <w:szCs w:val="16"/>
          <w:lang w:val="sk-SK"/>
        </w:rPr>
      </w:pPr>
      <w:r w:rsidRPr="002F2D3D">
        <w:rPr>
          <w:rFonts w:ascii="Arial" w:hAnsi="Arial" w:cs="Arial"/>
          <w:color w:val="232323"/>
          <w:sz w:val="16"/>
          <w:szCs w:val="16"/>
          <w:lang w:val="sk-SK"/>
        </w:rPr>
        <w:t>Tomáš Turčan</w:t>
      </w:r>
      <w:r w:rsidR="002F2D3D">
        <w:rPr>
          <w:rFonts w:ascii="Arial" w:hAnsi="Arial" w:cs="Arial"/>
          <w:color w:val="232323"/>
          <w:sz w:val="16"/>
          <w:szCs w:val="16"/>
          <w:lang w:val="sk-SK"/>
        </w:rPr>
        <w:t xml:space="preserve"> I </w:t>
      </w:r>
      <w:r w:rsidRPr="002F2D3D">
        <w:rPr>
          <w:rFonts w:ascii="Arial" w:hAnsi="Arial" w:cs="Arial"/>
          <w:color w:val="232323"/>
          <w:sz w:val="16"/>
          <w:szCs w:val="16"/>
          <w:lang w:val="sk-SK"/>
        </w:rPr>
        <w:t xml:space="preserve">Senior </w:t>
      </w:r>
      <w:r w:rsidR="002F2D3D">
        <w:rPr>
          <w:rFonts w:ascii="Arial" w:hAnsi="Arial" w:cs="Arial"/>
          <w:color w:val="232323"/>
          <w:sz w:val="16"/>
          <w:szCs w:val="16"/>
          <w:lang w:val="sk-SK"/>
        </w:rPr>
        <w:t xml:space="preserve">PR </w:t>
      </w:r>
      <w:proofErr w:type="spellStart"/>
      <w:r w:rsidR="00B60379" w:rsidRPr="002F2D3D">
        <w:rPr>
          <w:rFonts w:ascii="Arial" w:hAnsi="Arial" w:cs="Arial"/>
          <w:color w:val="232323"/>
          <w:sz w:val="16"/>
          <w:szCs w:val="16"/>
          <w:lang w:val="sk-SK"/>
        </w:rPr>
        <w:t>Consultant</w:t>
      </w:r>
      <w:proofErr w:type="spellEnd"/>
    </w:p>
    <w:p w14:paraId="1D30D524" w14:textId="77777777" w:rsidR="009E1CF2" w:rsidRPr="002F2D3D" w:rsidRDefault="009E1CF2">
      <w:pPr>
        <w:spacing w:line="360" w:lineRule="auto"/>
        <w:jc w:val="both"/>
        <w:rPr>
          <w:rFonts w:ascii="Arial" w:hAnsi="Arial" w:cs="Arial"/>
          <w:color w:val="232323"/>
          <w:sz w:val="16"/>
          <w:szCs w:val="16"/>
          <w:lang w:val="sk-SK"/>
        </w:rPr>
      </w:pPr>
      <w:r w:rsidRPr="002F2D3D">
        <w:rPr>
          <w:rFonts w:ascii="Arial" w:hAnsi="Arial" w:cs="Arial"/>
          <w:color w:val="232323"/>
          <w:sz w:val="16"/>
          <w:szCs w:val="16"/>
          <w:lang w:val="sk-SK"/>
        </w:rPr>
        <w:t xml:space="preserve">Grape PR, </w:t>
      </w:r>
      <w:proofErr w:type="spellStart"/>
      <w:r w:rsidRPr="002F2D3D">
        <w:rPr>
          <w:rFonts w:ascii="Arial" w:hAnsi="Arial" w:cs="Arial"/>
          <w:color w:val="232323"/>
          <w:sz w:val="16"/>
          <w:szCs w:val="16"/>
          <w:lang w:val="sk-SK"/>
        </w:rPr>
        <w:t>s.r.o</w:t>
      </w:r>
      <w:proofErr w:type="spellEnd"/>
      <w:r w:rsidRPr="002F2D3D">
        <w:rPr>
          <w:rFonts w:ascii="Arial" w:hAnsi="Arial" w:cs="Arial"/>
          <w:color w:val="232323"/>
          <w:sz w:val="16"/>
          <w:szCs w:val="16"/>
          <w:lang w:val="sk-SK"/>
        </w:rPr>
        <w:t>.</w:t>
      </w:r>
    </w:p>
    <w:p w14:paraId="43532537" w14:textId="77777777" w:rsidR="00AD02B7" w:rsidRDefault="009E1CF2">
      <w:pPr>
        <w:spacing w:line="360" w:lineRule="auto"/>
        <w:jc w:val="both"/>
        <w:rPr>
          <w:rFonts w:ascii="Arial" w:hAnsi="Arial" w:cs="Arial"/>
          <w:color w:val="232323"/>
          <w:sz w:val="16"/>
          <w:szCs w:val="16"/>
          <w:lang w:val="sk-SK"/>
        </w:rPr>
      </w:pPr>
      <w:r w:rsidRPr="002F2D3D">
        <w:rPr>
          <w:rFonts w:ascii="Arial" w:hAnsi="Arial" w:cs="Arial"/>
          <w:color w:val="232323"/>
          <w:sz w:val="16"/>
          <w:szCs w:val="16"/>
          <w:lang w:val="sk-SK"/>
        </w:rPr>
        <w:t>tel.: 0944 598</w:t>
      </w:r>
      <w:r w:rsidR="00AD02B7">
        <w:rPr>
          <w:rFonts w:ascii="Arial" w:hAnsi="Arial" w:cs="Arial"/>
          <w:color w:val="232323"/>
          <w:sz w:val="16"/>
          <w:szCs w:val="16"/>
          <w:lang w:val="sk-SK"/>
        </w:rPr>
        <w:t> </w:t>
      </w:r>
      <w:r w:rsidRPr="002F2D3D">
        <w:rPr>
          <w:rFonts w:ascii="Arial" w:hAnsi="Arial" w:cs="Arial"/>
          <w:color w:val="232323"/>
          <w:sz w:val="16"/>
          <w:szCs w:val="16"/>
          <w:lang w:val="sk-SK"/>
        </w:rPr>
        <w:t>222</w:t>
      </w:r>
      <w:r w:rsidR="002F2D3D">
        <w:rPr>
          <w:rFonts w:ascii="Arial" w:hAnsi="Arial" w:cs="Arial"/>
          <w:color w:val="232323"/>
          <w:sz w:val="16"/>
          <w:szCs w:val="16"/>
          <w:lang w:val="sk-SK"/>
        </w:rPr>
        <w:t>,</w:t>
      </w:r>
    </w:p>
    <w:p w14:paraId="756D8D8F" w14:textId="6C0C9B24" w:rsidR="00343CB5" w:rsidRPr="002F2D3D" w:rsidRDefault="009E1CF2">
      <w:pPr>
        <w:spacing w:line="360" w:lineRule="auto"/>
        <w:jc w:val="both"/>
        <w:rPr>
          <w:rFonts w:ascii="Arial" w:hAnsi="Arial" w:cs="Arial"/>
          <w:color w:val="232323"/>
          <w:sz w:val="16"/>
          <w:szCs w:val="16"/>
          <w:lang w:val="sk-SK"/>
        </w:rPr>
      </w:pPr>
      <w:r w:rsidRPr="002F2D3D">
        <w:rPr>
          <w:rFonts w:ascii="Arial" w:hAnsi="Arial" w:cs="Arial"/>
          <w:color w:val="232323"/>
          <w:sz w:val="16"/>
          <w:szCs w:val="16"/>
          <w:lang w:val="sk-SK"/>
        </w:rPr>
        <w:t xml:space="preserve">e-mail: tomas.turcan@grapepr.sk </w:t>
      </w:r>
    </w:p>
    <w:sectPr w:rsidR="00343CB5" w:rsidRPr="002F2D3D" w:rsidSect="000B77F9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CE5A3" w14:textId="77777777" w:rsidR="00510A7D" w:rsidRDefault="00510A7D">
      <w:r>
        <w:separator/>
      </w:r>
    </w:p>
  </w:endnote>
  <w:endnote w:type="continuationSeparator" w:id="0">
    <w:p w14:paraId="70BD9272" w14:textId="77777777" w:rsidR="00510A7D" w:rsidRDefault="0051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22D19" w14:textId="77777777" w:rsidR="00A11302" w:rsidRPr="009E1CF2" w:rsidRDefault="00A11302" w:rsidP="009E1CF2">
    <w:pPr>
      <w:pStyle w:val="Pta"/>
      <w:rPr>
        <w:rFonts w:ascii="Arial" w:hAnsi="Arial" w:cs="Arial"/>
        <w:sz w:val="18"/>
        <w:szCs w:val="18"/>
      </w:rPr>
    </w:pPr>
    <w:r>
      <w:rPr>
        <w:sz w:val="16"/>
        <w:szCs w:val="16"/>
      </w:rPr>
      <w:tab/>
    </w:r>
    <w:r w:rsidRPr="009E1CF2">
      <w:rPr>
        <w:rFonts w:ascii="Arial" w:hAnsi="Arial" w:cs="Arial"/>
        <w:sz w:val="18"/>
        <w:szCs w:val="18"/>
      </w:rPr>
      <w:t xml:space="preserve">- </w:t>
    </w:r>
    <w:r w:rsidRPr="009E1CF2">
      <w:rPr>
        <w:rFonts w:ascii="Arial" w:hAnsi="Arial" w:cs="Arial"/>
        <w:sz w:val="18"/>
        <w:szCs w:val="18"/>
      </w:rPr>
      <w:fldChar w:fldCharType="begin"/>
    </w:r>
    <w:r w:rsidRPr="009E1CF2">
      <w:rPr>
        <w:rFonts w:ascii="Arial" w:hAnsi="Arial" w:cs="Arial"/>
        <w:sz w:val="18"/>
        <w:szCs w:val="18"/>
      </w:rPr>
      <w:instrText xml:space="preserve"> PAGE </w:instrText>
    </w:r>
    <w:r w:rsidRPr="009E1CF2">
      <w:rPr>
        <w:rFonts w:ascii="Arial" w:hAnsi="Arial" w:cs="Arial"/>
        <w:sz w:val="18"/>
        <w:szCs w:val="18"/>
      </w:rPr>
      <w:fldChar w:fldCharType="separate"/>
    </w:r>
    <w:r w:rsidR="00B64FAF">
      <w:rPr>
        <w:rFonts w:ascii="Arial" w:hAnsi="Arial" w:cs="Arial"/>
        <w:noProof/>
        <w:sz w:val="18"/>
        <w:szCs w:val="18"/>
      </w:rPr>
      <w:t>3</w:t>
    </w:r>
    <w:r w:rsidRPr="009E1CF2">
      <w:rPr>
        <w:rFonts w:ascii="Arial" w:hAnsi="Arial" w:cs="Arial"/>
        <w:sz w:val="18"/>
        <w:szCs w:val="18"/>
      </w:rPr>
      <w:fldChar w:fldCharType="end"/>
    </w:r>
    <w:r w:rsidRPr="009E1CF2">
      <w:rPr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38F92" w14:textId="77777777" w:rsidR="00510A7D" w:rsidRDefault="00510A7D">
      <w:r>
        <w:separator/>
      </w:r>
    </w:p>
  </w:footnote>
  <w:footnote w:type="continuationSeparator" w:id="0">
    <w:p w14:paraId="0215E1C9" w14:textId="77777777" w:rsidR="00510A7D" w:rsidRDefault="00510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7C63D" w14:textId="77777777" w:rsidR="00A11302" w:rsidRDefault="00A11302">
    <w:pPr>
      <w:pStyle w:val="Hlavika"/>
    </w:pPr>
  </w:p>
  <w:p w14:paraId="628CED6C" w14:textId="77777777" w:rsidR="00A11302" w:rsidRDefault="00A11302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519BAE82" wp14:editId="5C829375">
          <wp:simplePos x="0" y="0"/>
          <wp:positionH relativeFrom="column">
            <wp:posOffset>4832350</wp:posOffset>
          </wp:positionH>
          <wp:positionV relativeFrom="paragraph">
            <wp:posOffset>-414655</wp:posOffset>
          </wp:positionV>
          <wp:extent cx="1155700" cy="488950"/>
          <wp:effectExtent l="0" t="0" r="6350" b="6350"/>
          <wp:wrapTight wrapText="bothSides">
            <wp:wrapPolygon edited="0">
              <wp:start x="0" y="0"/>
              <wp:lineTo x="0" y="21039"/>
              <wp:lineTo x="21363" y="21039"/>
              <wp:lineTo x="21363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dem zivot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51AF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807B4A"/>
    <w:multiLevelType w:val="hybridMultilevel"/>
    <w:tmpl w:val="5464D586"/>
    <w:lvl w:ilvl="0" w:tplc="2B2482BE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388A"/>
    <w:multiLevelType w:val="hybridMultilevel"/>
    <w:tmpl w:val="AB624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25025"/>
    <w:multiLevelType w:val="hybridMultilevel"/>
    <w:tmpl w:val="3A16DA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BB087B"/>
    <w:multiLevelType w:val="hybridMultilevel"/>
    <w:tmpl w:val="21C26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F9"/>
    <w:rsid w:val="000B77F9"/>
    <w:rsid w:val="00116877"/>
    <w:rsid w:val="00145D05"/>
    <w:rsid w:val="00164B0A"/>
    <w:rsid w:val="001F0AF6"/>
    <w:rsid w:val="001F0C3F"/>
    <w:rsid w:val="00212EB8"/>
    <w:rsid w:val="002166C8"/>
    <w:rsid w:val="0023700C"/>
    <w:rsid w:val="00262315"/>
    <w:rsid w:val="00283538"/>
    <w:rsid w:val="00285C5D"/>
    <w:rsid w:val="002A7C47"/>
    <w:rsid w:val="002D0A7C"/>
    <w:rsid w:val="002F2D3D"/>
    <w:rsid w:val="00307E39"/>
    <w:rsid w:val="00343CB5"/>
    <w:rsid w:val="003760F5"/>
    <w:rsid w:val="00397347"/>
    <w:rsid w:val="003A7417"/>
    <w:rsid w:val="003D6697"/>
    <w:rsid w:val="00454810"/>
    <w:rsid w:val="00510A7D"/>
    <w:rsid w:val="005812AB"/>
    <w:rsid w:val="005A2617"/>
    <w:rsid w:val="005C2AC4"/>
    <w:rsid w:val="005D5444"/>
    <w:rsid w:val="006672F1"/>
    <w:rsid w:val="006763DA"/>
    <w:rsid w:val="00692530"/>
    <w:rsid w:val="006C5E3C"/>
    <w:rsid w:val="006D725D"/>
    <w:rsid w:val="00744960"/>
    <w:rsid w:val="00784072"/>
    <w:rsid w:val="007873D7"/>
    <w:rsid w:val="007A022B"/>
    <w:rsid w:val="00813A58"/>
    <w:rsid w:val="008161BA"/>
    <w:rsid w:val="0084175D"/>
    <w:rsid w:val="009273C0"/>
    <w:rsid w:val="0093110B"/>
    <w:rsid w:val="00941FE2"/>
    <w:rsid w:val="00972B0D"/>
    <w:rsid w:val="009926C9"/>
    <w:rsid w:val="009A285C"/>
    <w:rsid w:val="009C03E6"/>
    <w:rsid w:val="009E1CF2"/>
    <w:rsid w:val="009E2227"/>
    <w:rsid w:val="00A11302"/>
    <w:rsid w:val="00A47E80"/>
    <w:rsid w:val="00A531C0"/>
    <w:rsid w:val="00A84028"/>
    <w:rsid w:val="00A87DC6"/>
    <w:rsid w:val="00AA5770"/>
    <w:rsid w:val="00AD02B7"/>
    <w:rsid w:val="00AE600B"/>
    <w:rsid w:val="00AF17EF"/>
    <w:rsid w:val="00B26AFB"/>
    <w:rsid w:val="00B430EA"/>
    <w:rsid w:val="00B60379"/>
    <w:rsid w:val="00B64FAF"/>
    <w:rsid w:val="00B760F2"/>
    <w:rsid w:val="00C30B97"/>
    <w:rsid w:val="00C50037"/>
    <w:rsid w:val="00C6430D"/>
    <w:rsid w:val="00D96BFD"/>
    <w:rsid w:val="00DC01E3"/>
    <w:rsid w:val="00E14FF9"/>
    <w:rsid w:val="00E353B5"/>
    <w:rsid w:val="00E8209D"/>
    <w:rsid w:val="00E95228"/>
    <w:rsid w:val="00EA5E3C"/>
    <w:rsid w:val="00EC3269"/>
    <w:rsid w:val="00F86FC5"/>
    <w:rsid w:val="00FD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7C9DFA"/>
  <w15:docId w15:val="{9FCD4E9B-0CEA-4456-B489-C887637B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locked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lock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Pr>
      <w:rFonts w:ascii="Lucida Grande CE" w:hAnsi="Lucida Grande C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Lucida Grande CE" w:hAnsi="Lucida Grande CE" w:cs="Lucida Grande CE"/>
      <w:sz w:val="18"/>
      <w:szCs w:val="18"/>
    </w:rPr>
  </w:style>
  <w:style w:type="paragraph" w:customStyle="1" w:styleId="Svetlmriekazvraznenie31">
    <w:name w:val="Svetlá mriežka – zvýraznenie 31"/>
    <w:basedOn w:val="Normlny"/>
    <w:uiPriority w:val="99"/>
    <w:qFormat/>
    <w:pPr>
      <w:ind w:left="720"/>
      <w:contextualSpacing/>
    </w:pPr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table" w:styleId="Mriekatabuky">
    <w:name w:val="Table Grid"/>
    <w:basedOn w:val="Normlnatabuka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Pr>
      <w:lang w:val="cs-CZ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  <w:lang w:val="cs-CZ" w:eastAsia="en-US"/>
    </w:rPr>
  </w:style>
  <w:style w:type="paragraph" w:styleId="Odsekzoznamu">
    <w:name w:val="List Paragraph"/>
    <w:basedOn w:val="Normlny"/>
    <w:uiPriority w:val="34"/>
    <w:qFormat/>
    <w:rsid w:val="009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emzivot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nsplan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A1BF0-01F7-4F3F-AD4A-2D168883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VZNIKOL NADAČNÝ FOND PRE ZDRAVÉ PĽÚCA</vt:lpstr>
      <vt:lpstr>VZNIKOL NADAČNÝ FOND PRE ZDRAVÉ PĽÚCA</vt:lpstr>
    </vt:vector>
  </TitlesOfParts>
  <Company>Hewlett-Packard Company</Company>
  <LinksUpToDate>false</LinksUpToDate>
  <CharactersWithSpaces>7657</CharactersWithSpaces>
  <SharedDoc>false</SharedDoc>
  <HLinks>
    <vt:vector size="6" baseType="variant">
      <vt:variant>
        <vt:i4>6619244</vt:i4>
      </vt:variant>
      <vt:variant>
        <vt:i4>0</vt:i4>
      </vt:variant>
      <vt:variant>
        <vt:i4>0</vt:i4>
      </vt:variant>
      <vt:variant>
        <vt:i4>5</vt:i4>
      </vt:variant>
      <vt:variant>
        <vt:lpwstr>mailto:richard.fides@grapepr.sk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VZNIKOL NADAČNÝ FOND PRE ZDRAVÉ PĽÚCA</dc:title>
  <dc:creator>Richard Fides</dc:creator>
  <cp:lastModifiedBy>Tomas Turcan</cp:lastModifiedBy>
  <cp:revision>3</cp:revision>
  <cp:lastPrinted>2015-04-14T05:49:00Z</cp:lastPrinted>
  <dcterms:created xsi:type="dcterms:W3CDTF">2016-10-05T12:26:00Z</dcterms:created>
  <dcterms:modified xsi:type="dcterms:W3CDTF">2016-10-05T12:37:00Z</dcterms:modified>
</cp:coreProperties>
</file>